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E976FC"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26"/>
          <w:szCs w:val="26"/>
          <w:rtl/>
        </w:rPr>
      </w:pPr>
      <w:r w:rsidRPr="00E976FC">
        <w:rPr>
          <w:rFonts w:ascii="Simplified Arabic" w:hAnsi="Simplified Arabic" w:cs="AL-Mateen"/>
          <w:noProof/>
          <w:sz w:val="26"/>
          <w:szCs w:val="26"/>
          <w:rtl/>
        </w:rPr>
        <w:drawing>
          <wp:anchor distT="0" distB="0" distL="114300" distR="114300" simplePos="0" relativeHeight="251660800" behindDoc="1" locked="0" layoutInCell="1" allowOverlap="1" wp14:anchorId="452D46C3" wp14:editId="1C934B2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E976FC" w:rsidRDefault="00AD0CEB" w:rsidP="00A72284">
      <w:pPr>
        <w:widowControl/>
        <w:tabs>
          <w:tab w:val="left" w:pos="707"/>
          <w:tab w:val="left" w:pos="849"/>
          <w:tab w:val="left" w:pos="991"/>
          <w:tab w:val="left" w:pos="1133"/>
          <w:tab w:val="left" w:pos="1274"/>
        </w:tabs>
        <w:adjustRightInd/>
        <w:spacing w:line="240" w:lineRule="auto"/>
        <w:jc w:val="center"/>
        <w:textAlignment w:val="auto"/>
        <w:rPr>
          <w:sz w:val="26"/>
          <w:szCs w:val="26"/>
          <w:rtl/>
        </w:rPr>
      </w:pPr>
    </w:p>
    <w:p w14:paraId="72B021EB" w14:textId="77777777" w:rsidR="00A72284" w:rsidRPr="00E976FC"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6"/>
          <w:szCs w:val="26"/>
          <w:rtl/>
          <w:lang w:bidi="ar-EG"/>
        </w:rPr>
      </w:pP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p>
    <w:p w14:paraId="6A121C38" w14:textId="77777777" w:rsidR="00A72284" w:rsidRPr="00E976FC" w:rsidRDefault="00A72284" w:rsidP="00A72284">
      <w:pPr>
        <w:widowControl/>
        <w:adjustRightInd/>
        <w:spacing w:line="240" w:lineRule="auto"/>
        <w:jc w:val="lowKashida"/>
        <w:textAlignment w:val="auto"/>
        <w:rPr>
          <w:rFonts w:eastAsia="Calibri"/>
          <w:b/>
          <w:bCs/>
          <w:sz w:val="26"/>
          <w:szCs w:val="26"/>
          <w:u w:val="single"/>
          <w:rtl/>
          <w:lang w:bidi="ar-EG"/>
        </w:rPr>
      </w:pPr>
    </w:p>
    <w:p w14:paraId="53D18741" w14:textId="77777777" w:rsidR="00D83A73" w:rsidRPr="00E976FC" w:rsidRDefault="00D83A73" w:rsidP="00D83A73">
      <w:pPr>
        <w:spacing w:line="216" w:lineRule="auto"/>
        <w:jc w:val="center"/>
        <w:rPr>
          <w:rFonts w:ascii="Lotus Linotype" w:hAnsi="Lotus Linotype" w:cs="PT Bold Heading"/>
          <w:sz w:val="26"/>
          <w:szCs w:val="26"/>
          <w:rtl/>
        </w:rPr>
      </w:pPr>
    </w:p>
    <w:p w14:paraId="6ADD0799" w14:textId="77777777" w:rsidR="00027C48" w:rsidRPr="00E976FC" w:rsidRDefault="00027C48" w:rsidP="00027C48">
      <w:pPr>
        <w:spacing w:line="240" w:lineRule="auto"/>
        <w:jc w:val="center"/>
        <w:rPr>
          <w:rFonts w:ascii="Lotus Linotype" w:hAnsi="Lotus Linotype" w:cs="PT Bold Heading"/>
          <w:sz w:val="26"/>
          <w:szCs w:val="26"/>
          <w:rtl/>
        </w:rPr>
      </w:pPr>
    </w:p>
    <w:p w14:paraId="5099DF03" w14:textId="77777777" w:rsidR="00B446B3" w:rsidRPr="00B446B3" w:rsidRDefault="00B446B3" w:rsidP="00B446B3">
      <w:pPr>
        <w:keepNext/>
        <w:tabs>
          <w:tab w:val="left" w:pos="227"/>
          <w:tab w:val="left" w:pos="340"/>
          <w:tab w:val="left" w:pos="454"/>
          <w:tab w:val="left" w:pos="567"/>
          <w:tab w:val="left" w:pos="680"/>
          <w:tab w:val="left" w:pos="794"/>
          <w:tab w:val="left" w:pos="907"/>
          <w:tab w:val="left" w:pos="1021"/>
          <w:tab w:val="left" w:pos="1134"/>
          <w:tab w:val="left" w:pos="1247"/>
          <w:tab w:val="left" w:pos="1361"/>
        </w:tabs>
        <w:bidi w:val="0"/>
        <w:spacing w:line="240" w:lineRule="auto"/>
        <w:ind w:firstLine="84"/>
        <w:jc w:val="center"/>
        <w:rPr>
          <w:rFonts w:ascii="Lotus Linotype" w:hAnsi="Lotus Linotype" w:cs="PT Bold Heading"/>
          <w:sz w:val="26"/>
          <w:szCs w:val="26"/>
          <w:rtl/>
          <w:lang w:bidi="ar-EG"/>
        </w:rPr>
      </w:pPr>
      <w:r w:rsidRPr="00B446B3">
        <w:rPr>
          <w:rFonts w:ascii="Lotus Linotype" w:hAnsi="Lotus Linotype" w:cs="PT Bold Heading" w:hint="cs"/>
          <w:sz w:val="26"/>
          <w:szCs w:val="26"/>
          <w:rtl/>
        </w:rPr>
        <w:t>مكافحة الاحتكار في تنظيم الأحداث الرياضية</w:t>
      </w:r>
    </w:p>
    <w:p w14:paraId="4240A67A" w14:textId="3A0D47B0" w:rsidR="008A03AA" w:rsidRPr="008A03AA" w:rsidRDefault="00B446B3" w:rsidP="00B446B3">
      <w:pPr>
        <w:keepNext/>
        <w:tabs>
          <w:tab w:val="left" w:pos="227"/>
          <w:tab w:val="left" w:pos="340"/>
          <w:tab w:val="left" w:pos="454"/>
          <w:tab w:val="left" w:pos="567"/>
          <w:tab w:val="left" w:pos="680"/>
          <w:tab w:val="left" w:pos="794"/>
          <w:tab w:val="left" w:pos="907"/>
          <w:tab w:val="left" w:pos="1021"/>
          <w:tab w:val="left" w:pos="1134"/>
          <w:tab w:val="left" w:pos="1247"/>
          <w:tab w:val="left" w:pos="1361"/>
        </w:tabs>
        <w:bidi w:val="0"/>
        <w:spacing w:line="240" w:lineRule="auto"/>
        <w:ind w:firstLine="84"/>
        <w:jc w:val="center"/>
        <w:rPr>
          <w:rFonts w:ascii="Lotus Linotype" w:hAnsi="Lotus Linotype" w:cs="PT Bold Heading"/>
          <w:sz w:val="26"/>
          <w:szCs w:val="26"/>
          <w:rtl/>
        </w:rPr>
      </w:pPr>
      <w:r w:rsidRPr="0072520F">
        <w:rPr>
          <w:rFonts w:ascii="Lotus Linotype" w:hAnsi="Lotus Linotype" w:cs="PT Bold Heading" w:hint="cs"/>
          <w:sz w:val="26"/>
          <w:szCs w:val="26"/>
          <w:rtl/>
        </w:rPr>
        <w:t xml:space="preserve">دراسة تحليلية لقضية بطولتي ليف و بي جي </w:t>
      </w:r>
      <w:proofErr w:type="spellStart"/>
      <w:r w:rsidRPr="0072520F">
        <w:rPr>
          <w:rFonts w:ascii="Lotus Linotype" w:hAnsi="Lotus Linotype" w:cs="PT Bold Heading" w:hint="cs"/>
          <w:sz w:val="26"/>
          <w:szCs w:val="26"/>
          <w:rtl/>
        </w:rPr>
        <w:t>آي</w:t>
      </w:r>
      <w:proofErr w:type="spellEnd"/>
      <w:r w:rsidRPr="0072520F">
        <w:rPr>
          <w:rFonts w:ascii="Lotus Linotype" w:hAnsi="Lotus Linotype" w:cs="PT Bold Heading" w:hint="cs"/>
          <w:sz w:val="26"/>
          <w:szCs w:val="26"/>
          <w:rtl/>
        </w:rPr>
        <w:t xml:space="preserve"> للغولف</w:t>
      </w:r>
    </w:p>
    <w:p w14:paraId="2E73B620" w14:textId="77777777" w:rsidR="000271CC" w:rsidRPr="00E976FC" w:rsidRDefault="000271CC" w:rsidP="00B446B3">
      <w:pPr>
        <w:widowControl/>
        <w:adjustRightInd/>
        <w:spacing w:line="240" w:lineRule="auto"/>
        <w:jc w:val="center"/>
        <w:textAlignment w:val="auto"/>
        <w:rPr>
          <w:rFonts w:ascii="Lotus Linotype" w:hAnsi="Lotus Linotype" w:cs="Abuhmeda Free"/>
          <w:sz w:val="26"/>
          <w:szCs w:val="26"/>
          <w:rtl/>
        </w:rPr>
      </w:pPr>
    </w:p>
    <w:p w14:paraId="32DB437A" w14:textId="77777777" w:rsidR="00483E39" w:rsidRPr="00E976FC" w:rsidRDefault="00483E39" w:rsidP="00B446B3">
      <w:pPr>
        <w:widowControl/>
        <w:adjustRightInd/>
        <w:spacing w:line="240" w:lineRule="auto"/>
        <w:jc w:val="center"/>
        <w:textAlignment w:val="auto"/>
        <w:rPr>
          <w:rFonts w:ascii="Lotus Linotype" w:hAnsi="Lotus Linotype" w:cs="Abuhmeda Free"/>
          <w:sz w:val="26"/>
          <w:szCs w:val="26"/>
          <w:rtl/>
        </w:rPr>
      </w:pPr>
    </w:p>
    <w:p w14:paraId="202091AF" w14:textId="77777777" w:rsidR="00E84168" w:rsidRDefault="00E84168" w:rsidP="00B446B3">
      <w:pPr>
        <w:widowControl/>
        <w:adjustRightInd/>
        <w:spacing w:line="240" w:lineRule="auto"/>
        <w:jc w:val="center"/>
        <w:textAlignment w:val="auto"/>
        <w:rPr>
          <w:rFonts w:ascii="Lotus Linotype" w:hAnsi="Lotus Linotype" w:cs="Abuhmeda Free"/>
          <w:sz w:val="26"/>
          <w:szCs w:val="26"/>
          <w:rtl/>
        </w:rPr>
      </w:pPr>
    </w:p>
    <w:p w14:paraId="1DD59177" w14:textId="77777777" w:rsidR="008A03AA" w:rsidRDefault="008A03AA" w:rsidP="00B446B3">
      <w:pPr>
        <w:widowControl/>
        <w:adjustRightInd/>
        <w:spacing w:line="240" w:lineRule="auto"/>
        <w:jc w:val="center"/>
        <w:textAlignment w:val="auto"/>
        <w:rPr>
          <w:rFonts w:ascii="Lotus Linotype" w:hAnsi="Lotus Linotype" w:cs="Abuhmeda Free"/>
          <w:sz w:val="26"/>
          <w:szCs w:val="26"/>
          <w:rtl/>
        </w:rPr>
      </w:pPr>
    </w:p>
    <w:p w14:paraId="253A49A4" w14:textId="77777777" w:rsidR="008A03AA" w:rsidRPr="00E976FC" w:rsidRDefault="008A03AA" w:rsidP="00B446B3">
      <w:pPr>
        <w:widowControl/>
        <w:adjustRightInd/>
        <w:spacing w:line="240" w:lineRule="auto"/>
        <w:jc w:val="center"/>
        <w:textAlignment w:val="auto"/>
        <w:rPr>
          <w:rFonts w:ascii="Lotus Linotype" w:hAnsi="Lotus Linotype" w:cs="Abuhmeda Free"/>
          <w:sz w:val="26"/>
          <w:szCs w:val="26"/>
          <w:rtl/>
        </w:rPr>
      </w:pPr>
    </w:p>
    <w:p w14:paraId="11A19673" w14:textId="77777777" w:rsidR="000271CC" w:rsidRPr="00E976FC" w:rsidRDefault="000271CC" w:rsidP="00B446B3">
      <w:pPr>
        <w:widowControl/>
        <w:adjustRightInd/>
        <w:spacing w:line="240" w:lineRule="auto"/>
        <w:jc w:val="center"/>
        <w:textAlignment w:val="auto"/>
        <w:rPr>
          <w:rFonts w:ascii="Lotus Linotype" w:hAnsi="Lotus Linotype" w:cs="Abuhmeda Free"/>
          <w:sz w:val="26"/>
          <w:szCs w:val="26"/>
          <w:rtl/>
        </w:rPr>
      </w:pPr>
      <w:r w:rsidRPr="00E976FC">
        <w:rPr>
          <w:rFonts w:ascii="Lotus Linotype" w:hAnsi="Lotus Linotype" w:cs="Abuhmeda Free"/>
          <w:sz w:val="26"/>
          <w:szCs w:val="26"/>
          <w:rtl/>
        </w:rPr>
        <w:t>إعداد</w:t>
      </w:r>
    </w:p>
    <w:p w14:paraId="0834FCB6" w14:textId="77777777" w:rsidR="00B446B3" w:rsidRPr="0072520F" w:rsidRDefault="00E976FC" w:rsidP="00B446B3">
      <w:pPr>
        <w:widowControl/>
        <w:adjustRightInd/>
        <w:spacing w:line="240" w:lineRule="auto"/>
        <w:jc w:val="center"/>
        <w:textAlignment w:val="auto"/>
        <w:rPr>
          <w:rFonts w:ascii="Lotus Linotype" w:hAnsi="Lotus Linotype" w:cs="PT Bold Heading"/>
          <w:sz w:val="26"/>
          <w:szCs w:val="26"/>
          <w:rtl/>
        </w:rPr>
      </w:pPr>
      <w:r w:rsidRPr="00E976FC">
        <w:rPr>
          <w:rFonts w:ascii="Lotus Linotype" w:hAnsi="Lotus Linotype" w:cs="PT Bold Heading" w:hint="cs"/>
          <w:sz w:val="26"/>
          <w:szCs w:val="26"/>
          <w:rtl/>
        </w:rPr>
        <w:t xml:space="preserve">د/ </w:t>
      </w:r>
      <w:r w:rsidR="00B446B3" w:rsidRPr="0072520F">
        <w:rPr>
          <w:rFonts w:ascii="Lotus Linotype" w:hAnsi="Lotus Linotype" w:cs="PT Bold Heading" w:hint="cs"/>
          <w:sz w:val="26"/>
          <w:szCs w:val="26"/>
          <w:rtl/>
        </w:rPr>
        <w:t>عمّار سعيد الرفاعي</w:t>
      </w:r>
    </w:p>
    <w:p w14:paraId="76CA580C" w14:textId="77777777" w:rsidR="00B446B3" w:rsidRDefault="00B446B3" w:rsidP="00B446B3">
      <w:pPr>
        <w:spacing w:line="240" w:lineRule="auto"/>
        <w:ind w:hanging="1"/>
        <w:jc w:val="center"/>
        <w:rPr>
          <w:rFonts w:ascii="Lotus Linotype" w:hAnsi="Lotus Linotype" w:cs="mohammad bold art 1"/>
          <w:sz w:val="26"/>
          <w:szCs w:val="26"/>
          <w:rtl/>
        </w:rPr>
      </w:pPr>
      <w:r w:rsidRPr="0072520F">
        <w:rPr>
          <w:rFonts w:ascii="Lotus Linotype" w:hAnsi="Lotus Linotype" w:cs="mohammad bold art 1" w:hint="cs"/>
          <w:sz w:val="26"/>
          <w:szCs w:val="26"/>
          <w:rtl/>
        </w:rPr>
        <w:t xml:space="preserve">قسم القانون - كلية الأعمال برابغ، </w:t>
      </w:r>
    </w:p>
    <w:p w14:paraId="73CF855E" w14:textId="4BA0BCEB" w:rsidR="00B446B3" w:rsidRPr="0072520F" w:rsidRDefault="00B446B3" w:rsidP="00B446B3">
      <w:pPr>
        <w:spacing w:line="240" w:lineRule="auto"/>
        <w:ind w:hanging="1"/>
        <w:jc w:val="center"/>
        <w:rPr>
          <w:b/>
          <w:sz w:val="28"/>
          <w:szCs w:val="28"/>
          <w:rtl/>
        </w:rPr>
      </w:pPr>
      <w:r w:rsidRPr="0072520F">
        <w:rPr>
          <w:rFonts w:ascii="Lotus Linotype" w:hAnsi="Lotus Linotype" w:cs="mohammad bold art 1" w:hint="cs"/>
          <w:sz w:val="26"/>
          <w:szCs w:val="26"/>
          <w:rtl/>
        </w:rPr>
        <w:t xml:space="preserve">جامعة الملك عبدالعزيز </w:t>
      </w:r>
      <w:r w:rsidRPr="0072520F">
        <w:rPr>
          <w:rFonts w:ascii="Lotus Linotype" w:hAnsi="Lotus Linotype" w:cs="mohammad bold art 1"/>
          <w:sz w:val="26"/>
          <w:szCs w:val="26"/>
          <w:rtl/>
        </w:rPr>
        <w:t>–</w:t>
      </w:r>
      <w:r w:rsidRPr="0072520F">
        <w:rPr>
          <w:rFonts w:ascii="Lotus Linotype" w:hAnsi="Lotus Linotype" w:cs="mohammad bold art 1" w:hint="cs"/>
          <w:sz w:val="26"/>
          <w:szCs w:val="26"/>
          <w:rtl/>
        </w:rPr>
        <w:t xml:space="preserve"> المملكة العربية السعودية</w:t>
      </w:r>
    </w:p>
    <w:p w14:paraId="5E797D8A" w14:textId="4BFEC76A" w:rsidR="007707B8" w:rsidRPr="00E976FC" w:rsidRDefault="007707B8" w:rsidP="00B446B3">
      <w:pPr>
        <w:widowControl/>
        <w:adjustRightInd/>
        <w:spacing w:line="400" w:lineRule="exact"/>
        <w:jc w:val="center"/>
        <w:textAlignment w:val="auto"/>
        <w:rPr>
          <w:rFonts w:ascii="Lotus Linotype" w:hAnsi="Lotus Linotype" w:cs="Lotus Linotype"/>
          <w:sz w:val="26"/>
          <w:szCs w:val="26"/>
          <w:rtl/>
        </w:rPr>
      </w:pPr>
    </w:p>
    <w:p w14:paraId="75D1FE15" w14:textId="77777777" w:rsidR="007707B8" w:rsidRPr="00E976FC" w:rsidRDefault="007707B8" w:rsidP="007707B8">
      <w:pPr>
        <w:spacing w:line="240" w:lineRule="auto"/>
        <w:jc w:val="center"/>
        <w:rPr>
          <w:rFonts w:ascii="Lotus Linotype" w:hAnsi="Lotus Linotype" w:cs="Lotus Linotype"/>
          <w:sz w:val="26"/>
          <w:szCs w:val="26"/>
          <w:rtl/>
        </w:rPr>
      </w:pPr>
    </w:p>
    <w:p w14:paraId="1C75885E" w14:textId="5FE59A3D" w:rsidR="00800811" w:rsidRPr="00E976FC" w:rsidRDefault="00B46010" w:rsidP="001C396A">
      <w:pPr>
        <w:widowControl/>
        <w:adjustRightInd/>
        <w:spacing w:line="240" w:lineRule="auto"/>
        <w:jc w:val="left"/>
        <w:textAlignment w:val="auto"/>
        <w:rPr>
          <w:rFonts w:eastAsia="SimSun" w:cs="Traditional Arabic"/>
          <w:color w:val="000000"/>
          <w:sz w:val="26"/>
          <w:szCs w:val="26"/>
          <w:rtl/>
          <w:lang w:eastAsia="zh-CN" w:bidi="ar-EG"/>
        </w:rPr>
      </w:pPr>
      <w:r w:rsidRPr="00E976FC">
        <w:rPr>
          <w:rFonts w:ascii="Lotus Linotype" w:hAnsi="Lotus Linotype" w:cs="Lotus Linotype"/>
          <w:sz w:val="26"/>
          <w:szCs w:val="26"/>
          <w:rtl/>
        </w:rPr>
        <w:br w:type="page"/>
      </w:r>
    </w:p>
    <w:p w14:paraId="3FB3A492"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bookmarkStart w:id="0" w:name="_Hlk166580540"/>
    </w:p>
    <w:p w14:paraId="69BD5CBD"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209BA77D"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0E751E4F"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3E188382"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4D79DEA7"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575F90FF"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084A68CC"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29A30BA3"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4229266B" w14:textId="77777777" w:rsidR="00B96506" w:rsidRPr="0072520F"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rPr>
      </w:pPr>
      <w:r w:rsidRPr="0072520F">
        <w:rPr>
          <w:rFonts w:ascii="Simplified Arabic" w:eastAsia="Calibri" w:hAnsi="Simplified Arabic" w:cs="Simplified Arabic"/>
          <w:b/>
          <w:bCs/>
          <w:sz w:val="22"/>
          <w:szCs w:val="22"/>
          <w:u w:val="single"/>
          <w:rtl/>
          <w:lang w:bidi="ar-JO"/>
        </w:rPr>
        <w:t xml:space="preserve">تم تمويل هذا البحث من قبل برنامج التمويل المؤسسي بموجب المنحة رقم </w:t>
      </w:r>
      <w:r w:rsidRPr="0072520F">
        <w:rPr>
          <w:rFonts w:ascii="Simplified Arabic" w:eastAsia="Calibri" w:hAnsi="Simplified Arabic" w:cs="Simplified Arabic"/>
          <w:b/>
          <w:bCs/>
          <w:sz w:val="22"/>
          <w:szCs w:val="22"/>
          <w:u w:val="single"/>
          <w:lang w:bidi="ar-JO"/>
        </w:rPr>
        <w:t xml:space="preserve">IFPAS:64-849-1443 </w:t>
      </w:r>
      <w:r w:rsidRPr="0072520F">
        <w:rPr>
          <w:rFonts w:ascii="Simplified Arabic" w:eastAsia="Calibri" w:hAnsi="Simplified Arabic" w:cs="Simplified Arabic"/>
          <w:b/>
          <w:bCs/>
          <w:sz w:val="22"/>
          <w:szCs w:val="22"/>
          <w:u w:val="single"/>
          <w:rtl/>
        </w:rPr>
        <w:t xml:space="preserve"> لذلك يتقدم المؤلف بالشكر </w:t>
      </w:r>
      <w:proofErr w:type="spellStart"/>
      <w:r w:rsidRPr="0072520F">
        <w:rPr>
          <w:rFonts w:ascii="Simplified Arabic" w:eastAsia="Calibri" w:hAnsi="Simplified Arabic" w:cs="Simplified Arabic"/>
          <w:b/>
          <w:bCs/>
          <w:sz w:val="22"/>
          <w:szCs w:val="22"/>
          <w:u w:val="single"/>
          <w:rtl/>
        </w:rPr>
        <w:t>والإمتنان</w:t>
      </w:r>
      <w:proofErr w:type="spellEnd"/>
      <w:r w:rsidRPr="0072520F">
        <w:rPr>
          <w:rFonts w:ascii="Simplified Arabic" w:eastAsia="Calibri" w:hAnsi="Simplified Arabic" w:cs="Simplified Arabic"/>
          <w:b/>
          <w:bCs/>
          <w:sz w:val="22"/>
          <w:szCs w:val="22"/>
          <w:u w:val="single"/>
          <w:rtl/>
        </w:rPr>
        <w:t xml:space="preserve"> للدعم الفني والمالي المقدم من وكالة البحث </w:t>
      </w:r>
      <w:proofErr w:type="spellStart"/>
      <w:r w:rsidRPr="0072520F">
        <w:rPr>
          <w:rFonts w:ascii="Simplified Arabic" w:eastAsia="Calibri" w:hAnsi="Simplified Arabic" w:cs="Simplified Arabic"/>
          <w:b/>
          <w:bCs/>
          <w:sz w:val="22"/>
          <w:szCs w:val="22"/>
          <w:u w:val="single"/>
          <w:rtl/>
        </w:rPr>
        <w:t>والإبتكار</w:t>
      </w:r>
      <w:proofErr w:type="spellEnd"/>
      <w:r w:rsidRPr="0072520F">
        <w:rPr>
          <w:rFonts w:ascii="Simplified Arabic" w:eastAsia="Calibri" w:hAnsi="Simplified Arabic" w:cs="Simplified Arabic"/>
          <w:b/>
          <w:bCs/>
          <w:sz w:val="22"/>
          <w:szCs w:val="22"/>
          <w:u w:val="single"/>
          <w:rtl/>
        </w:rPr>
        <w:t xml:space="preserve"> بوزارة التعليم وجامعة الملك عبد العزيز- جده – المملكة العربية السعودية</w:t>
      </w:r>
    </w:p>
    <w:p w14:paraId="3B1BDC9E" w14:textId="77777777" w:rsidR="0072520F" w:rsidRPr="0072520F" w:rsidRDefault="0072520F" w:rsidP="0072520F">
      <w:pPr>
        <w:widowControl/>
        <w:bidi w:val="0"/>
        <w:adjustRightInd/>
        <w:spacing w:after="160" w:line="259" w:lineRule="auto"/>
        <w:jc w:val="left"/>
        <w:textAlignment w:val="auto"/>
        <w:rPr>
          <w:b/>
          <w:bCs/>
          <w:sz w:val="36"/>
          <w:szCs w:val="36"/>
          <w:rtl/>
        </w:rPr>
      </w:pPr>
      <w:r w:rsidRPr="0072520F">
        <w:rPr>
          <w:b/>
          <w:bCs/>
          <w:sz w:val="36"/>
          <w:szCs w:val="36"/>
          <w:rtl/>
        </w:rPr>
        <w:br w:type="page"/>
      </w:r>
    </w:p>
    <w:p w14:paraId="36EB7A82" w14:textId="77777777" w:rsidR="0072520F" w:rsidRPr="0072520F" w:rsidRDefault="0072520F" w:rsidP="005C111E">
      <w:pPr>
        <w:widowControl/>
        <w:adjustRightInd/>
        <w:spacing w:line="240" w:lineRule="auto"/>
        <w:jc w:val="center"/>
        <w:textAlignment w:val="auto"/>
        <w:rPr>
          <w:rFonts w:ascii="Simplified Arabic" w:hAnsi="Simplified Arabic" w:cs="Simplified Arabic"/>
          <w:b/>
          <w:bCs/>
          <w:rtl/>
        </w:rPr>
      </w:pPr>
      <w:r w:rsidRPr="0072520F">
        <w:rPr>
          <w:rFonts w:ascii="Simplified Arabic" w:hAnsi="Simplified Arabic" w:cs="Simplified Arabic"/>
          <w:b/>
          <w:bCs/>
          <w:rtl/>
        </w:rPr>
        <w:lastRenderedPageBreak/>
        <w:t>مكافحة الاحتكار في تنظيم الأحداث الرياضية</w:t>
      </w:r>
    </w:p>
    <w:p w14:paraId="02C7904B" w14:textId="77777777" w:rsidR="0072520F" w:rsidRPr="0072520F" w:rsidRDefault="0072520F" w:rsidP="005C111E">
      <w:pPr>
        <w:widowControl/>
        <w:adjustRightInd/>
        <w:spacing w:line="240" w:lineRule="auto"/>
        <w:jc w:val="center"/>
        <w:textAlignment w:val="auto"/>
        <w:rPr>
          <w:rFonts w:ascii="Simplified Arabic" w:hAnsi="Simplified Arabic" w:cs="Simplified Arabic"/>
          <w:b/>
          <w:bCs/>
          <w:rtl/>
        </w:rPr>
      </w:pPr>
      <w:r w:rsidRPr="0072520F">
        <w:rPr>
          <w:rFonts w:ascii="Simplified Arabic" w:hAnsi="Simplified Arabic" w:cs="Simplified Arabic"/>
          <w:b/>
          <w:bCs/>
          <w:rtl/>
        </w:rPr>
        <w:t xml:space="preserve">دراسة تحليلية لقضية بطولتي ليف و بي جي </w:t>
      </w:r>
      <w:proofErr w:type="spellStart"/>
      <w:r w:rsidRPr="0072520F">
        <w:rPr>
          <w:rFonts w:ascii="Simplified Arabic" w:hAnsi="Simplified Arabic" w:cs="Simplified Arabic"/>
          <w:b/>
          <w:bCs/>
          <w:rtl/>
        </w:rPr>
        <w:t>آي</w:t>
      </w:r>
      <w:proofErr w:type="spellEnd"/>
      <w:r w:rsidRPr="0072520F">
        <w:rPr>
          <w:rFonts w:ascii="Simplified Arabic" w:hAnsi="Simplified Arabic" w:cs="Simplified Arabic"/>
          <w:b/>
          <w:bCs/>
          <w:rtl/>
        </w:rPr>
        <w:t xml:space="preserve"> للغولف</w:t>
      </w:r>
    </w:p>
    <w:p w14:paraId="3CF7302A" w14:textId="77777777" w:rsidR="0072520F" w:rsidRPr="0072520F" w:rsidRDefault="0072520F" w:rsidP="005C111E">
      <w:pPr>
        <w:widowControl/>
        <w:adjustRightInd/>
        <w:spacing w:line="240" w:lineRule="auto"/>
        <w:jc w:val="left"/>
        <w:textAlignment w:val="auto"/>
        <w:rPr>
          <w:rFonts w:ascii="Simplified Arabic" w:hAnsi="Simplified Arabic" w:cs="Simplified Arabic"/>
          <w:b/>
          <w:bCs/>
          <w:rtl/>
        </w:rPr>
      </w:pPr>
      <w:r w:rsidRPr="0072520F">
        <w:rPr>
          <w:rFonts w:ascii="Simplified Arabic" w:hAnsi="Simplified Arabic" w:cs="Simplified Arabic"/>
          <w:b/>
          <w:bCs/>
          <w:rtl/>
        </w:rPr>
        <w:t>عمّار سعيد الرفاعي</w:t>
      </w:r>
    </w:p>
    <w:p w14:paraId="71FF8776" w14:textId="77777777" w:rsidR="0072520F" w:rsidRPr="0072520F" w:rsidRDefault="0072520F" w:rsidP="005C111E">
      <w:pPr>
        <w:widowControl/>
        <w:adjustRightInd/>
        <w:spacing w:line="240" w:lineRule="auto"/>
        <w:jc w:val="left"/>
        <w:textAlignment w:val="auto"/>
        <w:rPr>
          <w:rFonts w:ascii="Simplified Arabic" w:hAnsi="Simplified Arabic" w:cs="Simplified Arabic"/>
          <w:b/>
          <w:bCs/>
          <w:rtl/>
        </w:rPr>
      </w:pPr>
      <w:r w:rsidRPr="0072520F">
        <w:rPr>
          <w:rFonts w:ascii="Simplified Arabic" w:hAnsi="Simplified Arabic" w:cs="Simplified Arabic"/>
          <w:b/>
          <w:bCs/>
          <w:rtl/>
        </w:rPr>
        <w:t xml:space="preserve"> قسم القانون - كلية الأعمال برابغ، جامعة الملك عبدالعزيز – المملكة العربية السعودية</w:t>
      </w:r>
    </w:p>
    <w:p w14:paraId="72FCA04B" w14:textId="77777777" w:rsidR="0072520F" w:rsidRPr="0072520F" w:rsidRDefault="0072520F" w:rsidP="005C111E">
      <w:pPr>
        <w:widowControl/>
        <w:adjustRightInd/>
        <w:spacing w:line="240" w:lineRule="auto"/>
        <w:jc w:val="left"/>
        <w:textAlignment w:val="auto"/>
        <w:rPr>
          <w:rFonts w:ascii="Simplified Arabic" w:hAnsi="Simplified Arabic" w:cs="Simplified Arabic"/>
          <w:rtl/>
        </w:rPr>
      </w:pPr>
      <w:r w:rsidRPr="0072520F">
        <w:rPr>
          <w:rFonts w:ascii="Simplified Arabic" w:hAnsi="Simplified Arabic" w:cs="Simplified Arabic"/>
          <w:b/>
          <w:bCs/>
          <w:rtl/>
        </w:rPr>
        <w:t xml:space="preserve">البريد الالكتروني: </w:t>
      </w:r>
      <w:hyperlink r:id="rId10" w:history="1">
        <w:r w:rsidRPr="00B96506">
          <w:rPr>
            <w:rFonts w:ascii="Simplified Arabic" w:hAnsi="Simplified Arabic" w:cs="Simplified Arabic"/>
            <w:b/>
            <w:bCs/>
            <w:u w:val="single"/>
          </w:rPr>
          <w:t>asalrefaei@kau.edu.sa</w:t>
        </w:r>
      </w:hyperlink>
    </w:p>
    <w:p w14:paraId="609E42C6" w14:textId="77777777" w:rsidR="0072520F" w:rsidRPr="0072520F" w:rsidRDefault="0072520F" w:rsidP="005C111E">
      <w:pPr>
        <w:widowControl/>
        <w:adjustRightInd/>
        <w:spacing w:line="240" w:lineRule="auto"/>
        <w:jc w:val="left"/>
        <w:textAlignment w:val="auto"/>
        <w:rPr>
          <w:rFonts w:ascii="Simplified Arabic" w:hAnsi="Simplified Arabic" w:cs="Simplified Arabic"/>
          <w:b/>
          <w:bCs/>
        </w:rPr>
      </w:pPr>
      <w:r w:rsidRPr="0072520F">
        <w:rPr>
          <w:rFonts w:ascii="Simplified Arabic" w:hAnsi="Simplified Arabic" w:cs="Simplified Arabic"/>
          <w:b/>
          <w:bCs/>
          <w:rtl/>
        </w:rPr>
        <w:t>الملخص</w:t>
      </w:r>
    </w:p>
    <w:p w14:paraId="32748491" w14:textId="5194B35F" w:rsidR="0072520F" w:rsidRPr="0072520F" w:rsidRDefault="0072520F" w:rsidP="00B96506">
      <w:pPr>
        <w:widowControl/>
        <w:adjustRightInd/>
        <w:spacing w:line="240" w:lineRule="auto"/>
        <w:jc w:val="lowKashida"/>
        <w:textAlignment w:val="auto"/>
        <w:rPr>
          <w:rFonts w:ascii="Simplified Arabic" w:hAnsi="Simplified Arabic" w:cs="Simplified Arabic"/>
        </w:rPr>
      </w:pPr>
      <w:r w:rsidRPr="0072520F">
        <w:rPr>
          <w:rFonts w:ascii="Simplified Arabic" w:hAnsi="Simplified Arabic" w:cs="Simplified Arabic"/>
          <w:rtl/>
        </w:rPr>
        <w:t>تعتبر (</w:t>
      </w:r>
      <w:r w:rsidRPr="0072520F">
        <w:rPr>
          <w:rFonts w:ascii="Simplified Arabic" w:hAnsi="Simplified Arabic" w:cs="Simplified Arabic"/>
        </w:rPr>
        <w:t>LIV</w:t>
      </w:r>
      <w:r w:rsidRPr="0072520F">
        <w:rPr>
          <w:rFonts w:ascii="Simplified Arabic" w:hAnsi="Simplified Arabic" w:cs="Simplified Arabic"/>
          <w:rtl/>
        </w:rPr>
        <w:t>) غولف جولة احترافية تم إطلاقها بواسطة الصندوق السعودي للاستثمارات العامة, وهي أيضا تعتبر منافسًا لجولة رابطة لاعبي الغولف المحترفين(</w:t>
      </w:r>
      <w:r w:rsidRPr="0072520F">
        <w:rPr>
          <w:rFonts w:ascii="Simplified Arabic" w:hAnsi="Simplified Arabic" w:cs="Simplified Arabic"/>
        </w:rPr>
        <w:t>PGA</w:t>
      </w:r>
      <w:r w:rsidRPr="0072520F">
        <w:rPr>
          <w:rFonts w:ascii="Simplified Arabic" w:hAnsi="Simplified Arabic" w:cs="Simplified Arabic"/>
          <w:rtl/>
        </w:rPr>
        <w:t>), حيث حذرت هذه الرابطة (</w:t>
      </w:r>
      <w:r w:rsidRPr="0072520F">
        <w:rPr>
          <w:rFonts w:ascii="Simplified Arabic" w:hAnsi="Simplified Arabic" w:cs="Simplified Arabic"/>
        </w:rPr>
        <w:t>PGA</w:t>
      </w:r>
      <w:r w:rsidRPr="0072520F">
        <w:rPr>
          <w:rFonts w:ascii="Simplified Arabic" w:hAnsi="Simplified Arabic" w:cs="Simplified Arabic"/>
          <w:rtl/>
        </w:rPr>
        <w:t>) أنها ستعاقب لاعبي الغولف المشاركين في الفعاليات المتضاربة بين جولتي (</w:t>
      </w:r>
      <w:r w:rsidRPr="0072520F">
        <w:rPr>
          <w:rFonts w:ascii="Simplified Arabic" w:hAnsi="Simplified Arabic" w:cs="Simplified Arabic"/>
        </w:rPr>
        <w:t>LIV</w:t>
      </w:r>
      <w:r w:rsidRPr="0072520F">
        <w:rPr>
          <w:rFonts w:ascii="Simplified Arabic" w:hAnsi="Simplified Arabic" w:cs="Simplified Arabic"/>
          <w:rtl/>
        </w:rPr>
        <w:t>) و (</w:t>
      </w:r>
      <w:r w:rsidRPr="0072520F">
        <w:rPr>
          <w:rFonts w:ascii="Simplified Arabic" w:hAnsi="Simplified Arabic" w:cs="Simplified Arabic"/>
        </w:rPr>
        <w:t>PGA</w:t>
      </w:r>
      <w:r w:rsidRPr="0072520F">
        <w:rPr>
          <w:rFonts w:ascii="Simplified Arabic" w:hAnsi="Simplified Arabic" w:cs="Simplified Arabic"/>
          <w:rtl/>
        </w:rPr>
        <w:t>)، وذلك قبل القيام بأول جولة من جولات (</w:t>
      </w:r>
      <w:r w:rsidRPr="0072520F">
        <w:rPr>
          <w:rFonts w:ascii="Simplified Arabic" w:hAnsi="Simplified Arabic" w:cs="Simplified Arabic"/>
        </w:rPr>
        <w:t>LIV</w:t>
      </w:r>
      <w:r w:rsidRPr="0072520F">
        <w:rPr>
          <w:rFonts w:ascii="Simplified Arabic" w:hAnsi="Simplified Arabic" w:cs="Simplified Arabic"/>
          <w:rtl/>
        </w:rPr>
        <w:t xml:space="preserve">) في شهر يونيو عام </w:t>
      </w:r>
      <w:r w:rsidRPr="0072520F">
        <w:rPr>
          <w:rFonts w:ascii="Simplified Arabic" w:hAnsi="Simplified Arabic" w:cs="Simplified Arabic"/>
        </w:rPr>
        <w:t>2022</w:t>
      </w:r>
      <w:r w:rsidRPr="0072520F">
        <w:rPr>
          <w:rFonts w:ascii="Simplified Arabic" w:hAnsi="Simplified Arabic" w:cs="Simplified Arabic"/>
          <w:rtl/>
        </w:rPr>
        <w:t>. وأيضا قامت بمنع المشاركين في جولات (</w:t>
      </w:r>
      <w:r w:rsidRPr="0072520F">
        <w:rPr>
          <w:rFonts w:ascii="Simplified Arabic" w:hAnsi="Simplified Arabic" w:cs="Simplified Arabic"/>
        </w:rPr>
        <w:t>LIV</w:t>
      </w:r>
      <w:r w:rsidRPr="0072520F">
        <w:rPr>
          <w:rFonts w:ascii="Simplified Arabic" w:hAnsi="Simplified Arabic" w:cs="Simplified Arabic"/>
          <w:rtl/>
        </w:rPr>
        <w:t xml:space="preserve">) من تلك الرابطة وأي بطولات مرتبطة بها، مما دفع هؤلاء المشاركين برفع دعوى قضائية في شهر أغسطس عام </w:t>
      </w:r>
      <w:r w:rsidRPr="0072520F">
        <w:rPr>
          <w:rFonts w:ascii="Simplified Arabic" w:hAnsi="Simplified Arabic" w:cs="Simplified Arabic"/>
        </w:rPr>
        <w:t>2022</w:t>
      </w:r>
      <w:r w:rsidRPr="0072520F">
        <w:rPr>
          <w:rFonts w:ascii="Simplified Arabic" w:hAnsi="Simplified Arabic" w:cs="Simplified Arabic"/>
          <w:rtl/>
        </w:rPr>
        <w:t>, مطالبين بعودتهم إلى جولة (</w:t>
      </w:r>
      <w:r w:rsidRPr="0072520F">
        <w:rPr>
          <w:rFonts w:ascii="Simplified Arabic" w:hAnsi="Simplified Arabic" w:cs="Simplified Arabic"/>
        </w:rPr>
        <w:t>PGA</w:t>
      </w:r>
      <w:r w:rsidRPr="0072520F">
        <w:rPr>
          <w:rFonts w:ascii="Simplified Arabic" w:hAnsi="Simplified Arabic" w:cs="Simplified Arabic"/>
          <w:rtl/>
        </w:rPr>
        <w:t>)، ثم قامت رابطة (</w:t>
      </w:r>
      <w:r w:rsidRPr="0072520F">
        <w:rPr>
          <w:rFonts w:ascii="Simplified Arabic" w:hAnsi="Simplified Arabic" w:cs="Simplified Arabic"/>
        </w:rPr>
        <w:t>LIV</w:t>
      </w:r>
      <w:r w:rsidRPr="0072520F">
        <w:rPr>
          <w:rFonts w:ascii="Simplified Arabic" w:hAnsi="Simplified Arabic" w:cs="Simplified Arabic"/>
          <w:rtl/>
        </w:rPr>
        <w:t>) بالانضمام إليهم مدّعية أن ما تم من ممارسات بتعطيل المشاركين عن عملهم سيودي بتدمير "قدرتها على الحفاظ علي وجود منافسة ذات مغزى في الأسواق". وقد أدّى ذلك إلى فتح تحقيق في هذه القضية من خلال وزارة العدل الأمريكية, حيث يبدو أن القضية الأساسية في هذه الدعوى هي معرفة ما إذا كان رد فعل رابطة (</w:t>
      </w:r>
      <w:r w:rsidRPr="0072520F">
        <w:rPr>
          <w:rFonts w:ascii="Simplified Arabic" w:hAnsi="Simplified Arabic" w:cs="Simplified Arabic"/>
        </w:rPr>
        <w:t>GPA</w:t>
      </w:r>
      <w:r w:rsidRPr="0072520F">
        <w:rPr>
          <w:rFonts w:ascii="Simplified Arabic" w:hAnsi="Simplified Arabic" w:cs="Simplified Arabic"/>
          <w:rtl/>
        </w:rPr>
        <w:t>)  على رابطة (</w:t>
      </w:r>
      <w:r w:rsidRPr="0072520F">
        <w:rPr>
          <w:rFonts w:ascii="Simplified Arabic" w:hAnsi="Simplified Arabic" w:cs="Simplified Arabic"/>
        </w:rPr>
        <w:t>LIV</w:t>
      </w:r>
      <w:r w:rsidRPr="0072520F">
        <w:rPr>
          <w:rFonts w:ascii="Simplified Arabic" w:hAnsi="Simplified Arabic" w:cs="Simplified Arabic"/>
          <w:rtl/>
        </w:rPr>
        <w:t xml:space="preserve">) عبارة عن حماية تجارية مشروعة أو ممارسات احتكارية. ولهذا السبب فإن هذه الدراسة البحثية تحاول الإجابة على هذا التساؤل من خلال مراجعة الإطار القانوني لمكافحة الاحتكار في الولايات المتحدة. ليس هذا فحسب, بل إن هذه الدراسة تنظر في الاثار المحتملة لقرار المحكمة للغولف بشكل خاص، والرياضات الاحترافية بشكل عام. الدراسة ستتم عن طريق الدراسة </w:t>
      </w:r>
      <w:proofErr w:type="spellStart"/>
      <w:r w:rsidRPr="0072520F">
        <w:rPr>
          <w:rFonts w:ascii="Simplified Arabic" w:hAnsi="Simplified Arabic" w:cs="Simplified Arabic"/>
          <w:rtl/>
        </w:rPr>
        <w:t>التحليلة</w:t>
      </w:r>
      <w:proofErr w:type="spellEnd"/>
      <w:r w:rsidRPr="0072520F">
        <w:rPr>
          <w:rFonts w:ascii="Simplified Arabic" w:hAnsi="Simplified Arabic" w:cs="Simplified Arabic"/>
          <w:rtl/>
        </w:rPr>
        <w:t xml:space="preserve"> للأنظمة المرعية في معالجة قضايا </w:t>
      </w:r>
      <w:proofErr w:type="spellStart"/>
      <w:r w:rsidRPr="0072520F">
        <w:rPr>
          <w:rFonts w:ascii="Simplified Arabic" w:hAnsi="Simplified Arabic" w:cs="Simplified Arabic"/>
          <w:rtl/>
        </w:rPr>
        <w:t>الإحتكار</w:t>
      </w:r>
      <w:proofErr w:type="spellEnd"/>
      <w:r w:rsidRPr="0072520F">
        <w:rPr>
          <w:rFonts w:ascii="Simplified Arabic" w:hAnsi="Simplified Arabic" w:cs="Simplified Arabic"/>
          <w:rtl/>
        </w:rPr>
        <w:t xml:space="preserve"> بشكل عام والرياضة بشكل خاص.</w:t>
      </w:r>
    </w:p>
    <w:p w14:paraId="3B0E71F6" w14:textId="5DC3645B" w:rsidR="0072520F" w:rsidRPr="0072520F" w:rsidRDefault="00B96506" w:rsidP="00B96506">
      <w:pPr>
        <w:widowControl/>
        <w:adjustRightInd/>
        <w:spacing w:line="240" w:lineRule="auto"/>
        <w:ind w:left="1276" w:hanging="1276"/>
        <w:jc w:val="lowKashida"/>
        <w:textAlignment w:val="auto"/>
        <w:rPr>
          <w:rFonts w:ascii="Simplified Arabic" w:hAnsi="Simplified Arabic" w:cs="Simplified Arabic"/>
          <w:rtl/>
        </w:rPr>
      </w:pPr>
      <w:r w:rsidRPr="00B96506">
        <w:rPr>
          <w:rFonts w:ascii="Simplified Arabic" w:hAnsi="Simplified Arabic" w:cs="Simplified Arabic" w:hint="cs"/>
          <w:b/>
          <w:bCs/>
          <w:rtl/>
        </w:rPr>
        <w:t>الكلمات</w:t>
      </w:r>
      <w:r w:rsidR="0072520F" w:rsidRPr="0072520F">
        <w:rPr>
          <w:rFonts w:ascii="Simplified Arabic" w:hAnsi="Simplified Arabic" w:cs="Simplified Arabic"/>
          <w:b/>
          <w:bCs/>
          <w:rtl/>
        </w:rPr>
        <w:t xml:space="preserve"> المفتاحية:</w:t>
      </w:r>
      <w:r w:rsidR="0072520F" w:rsidRPr="0072520F">
        <w:rPr>
          <w:rFonts w:ascii="Simplified Arabic" w:hAnsi="Simplified Arabic" w:cs="Simplified Arabic"/>
          <w:rtl/>
        </w:rPr>
        <w:t xml:space="preserve"> رياضة الغولف الاحترافية, مكافحة الاحتكار, جولة (</w:t>
      </w:r>
      <w:r w:rsidR="0072520F" w:rsidRPr="0072520F">
        <w:rPr>
          <w:rFonts w:ascii="Simplified Arabic" w:hAnsi="Simplified Arabic" w:cs="Simplified Arabic"/>
        </w:rPr>
        <w:t>LIV</w:t>
      </w:r>
      <w:r w:rsidR="0072520F" w:rsidRPr="0072520F">
        <w:rPr>
          <w:rFonts w:ascii="Simplified Arabic" w:hAnsi="Simplified Arabic" w:cs="Simplified Arabic"/>
          <w:rtl/>
        </w:rPr>
        <w:t>) غولف, جولة (</w:t>
      </w:r>
      <w:r w:rsidR="0072520F" w:rsidRPr="0072520F">
        <w:rPr>
          <w:rFonts w:ascii="Simplified Arabic" w:hAnsi="Simplified Arabic" w:cs="Simplified Arabic"/>
        </w:rPr>
        <w:t>GPA</w:t>
      </w:r>
      <w:r w:rsidR="0072520F" w:rsidRPr="0072520F">
        <w:rPr>
          <w:rFonts w:ascii="Simplified Arabic" w:hAnsi="Simplified Arabic" w:cs="Simplified Arabic"/>
          <w:rtl/>
        </w:rPr>
        <w:t xml:space="preserve">), الاحتكار, عقود </w:t>
      </w:r>
      <w:proofErr w:type="spellStart"/>
      <w:r w:rsidR="0072520F" w:rsidRPr="0072520F">
        <w:rPr>
          <w:rFonts w:ascii="Simplified Arabic" w:hAnsi="Simplified Arabic" w:cs="Simplified Arabic"/>
          <w:rtl/>
        </w:rPr>
        <w:t>الإحتراف</w:t>
      </w:r>
      <w:proofErr w:type="spellEnd"/>
      <w:r w:rsidR="0072520F" w:rsidRPr="0072520F">
        <w:rPr>
          <w:rFonts w:ascii="Simplified Arabic" w:hAnsi="Simplified Arabic" w:cs="Simplified Arabic"/>
          <w:rtl/>
        </w:rPr>
        <w:t>, قوانين الرياضة.</w:t>
      </w:r>
    </w:p>
    <w:p w14:paraId="1781A466" w14:textId="77777777" w:rsidR="0072520F" w:rsidRPr="0072520F" w:rsidRDefault="0072520F" w:rsidP="0072520F">
      <w:pPr>
        <w:widowControl/>
        <w:adjustRightInd/>
        <w:spacing w:after="160" w:line="259" w:lineRule="auto"/>
        <w:jc w:val="left"/>
        <w:textAlignment w:val="auto"/>
        <w:rPr>
          <w:sz w:val="28"/>
          <w:szCs w:val="28"/>
          <w:rtl/>
        </w:rPr>
      </w:pPr>
      <w:r w:rsidRPr="0072520F">
        <w:rPr>
          <w:sz w:val="28"/>
          <w:szCs w:val="28"/>
          <w:rtl/>
        </w:rPr>
        <w:br w:type="page"/>
      </w:r>
    </w:p>
    <w:p w14:paraId="638C9C5E" w14:textId="77777777" w:rsidR="0072520F" w:rsidRPr="0072520F" w:rsidRDefault="0072520F" w:rsidP="00B96506">
      <w:pPr>
        <w:widowControl/>
        <w:bidi w:val="0"/>
        <w:adjustRightInd/>
        <w:spacing w:line="240" w:lineRule="auto"/>
        <w:jc w:val="center"/>
        <w:textAlignment w:val="auto"/>
        <w:rPr>
          <w:rFonts w:eastAsia="Calibri"/>
          <w:b/>
          <w:sz w:val="28"/>
          <w:szCs w:val="28"/>
        </w:rPr>
      </w:pPr>
      <w:r w:rsidRPr="0072520F">
        <w:rPr>
          <w:rFonts w:eastAsia="Calibri"/>
          <w:b/>
          <w:sz w:val="28"/>
          <w:szCs w:val="28"/>
        </w:rPr>
        <w:lastRenderedPageBreak/>
        <w:t>The Issue of Antitrust in Sport: Analytical Study of the Sports of Golf.</w:t>
      </w:r>
    </w:p>
    <w:p w14:paraId="2457AEA6" w14:textId="77777777" w:rsidR="0072520F" w:rsidRPr="0072520F" w:rsidRDefault="0072520F" w:rsidP="00B96506">
      <w:pPr>
        <w:widowControl/>
        <w:bidi w:val="0"/>
        <w:adjustRightInd/>
        <w:spacing w:line="240" w:lineRule="auto"/>
        <w:textAlignment w:val="auto"/>
        <w:rPr>
          <w:rFonts w:eastAsia="Calibri"/>
          <w:b/>
          <w:sz w:val="28"/>
          <w:szCs w:val="28"/>
        </w:rPr>
      </w:pPr>
      <w:r w:rsidRPr="0072520F">
        <w:rPr>
          <w:rFonts w:eastAsia="Calibri"/>
          <w:b/>
          <w:sz w:val="28"/>
          <w:szCs w:val="28"/>
        </w:rPr>
        <w:t xml:space="preserve"> </w:t>
      </w:r>
      <w:proofErr w:type="spellStart"/>
      <w:r w:rsidRPr="0072520F">
        <w:rPr>
          <w:rFonts w:eastAsia="Calibri"/>
          <w:b/>
          <w:sz w:val="28"/>
          <w:szCs w:val="28"/>
        </w:rPr>
        <w:t>Ammar</w:t>
      </w:r>
      <w:proofErr w:type="spellEnd"/>
      <w:r w:rsidRPr="0072520F">
        <w:rPr>
          <w:rFonts w:eastAsia="Calibri"/>
          <w:b/>
          <w:sz w:val="28"/>
          <w:szCs w:val="28"/>
        </w:rPr>
        <w:t xml:space="preserve"> </w:t>
      </w:r>
      <w:proofErr w:type="spellStart"/>
      <w:r w:rsidRPr="0072520F">
        <w:rPr>
          <w:rFonts w:eastAsia="Calibri"/>
          <w:b/>
          <w:sz w:val="28"/>
          <w:szCs w:val="28"/>
        </w:rPr>
        <w:t>Alrefaei</w:t>
      </w:r>
      <w:proofErr w:type="spellEnd"/>
    </w:p>
    <w:p w14:paraId="52D3CA61" w14:textId="77777777" w:rsidR="0072520F" w:rsidRPr="0072520F" w:rsidRDefault="0072520F" w:rsidP="00B96506">
      <w:pPr>
        <w:widowControl/>
        <w:bidi w:val="0"/>
        <w:adjustRightInd/>
        <w:spacing w:line="240" w:lineRule="auto"/>
        <w:textAlignment w:val="auto"/>
        <w:rPr>
          <w:rFonts w:eastAsia="Calibri"/>
          <w:b/>
          <w:sz w:val="28"/>
          <w:szCs w:val="28"/>
        </w:rPr>
      </w:pPr>
      <w:r w:rsidRPr="0072520F">
        <w:rPr>
          <w:rFonts w:eastAsia="Calibri"/>
          <w:b/>
          <w:sz w:val="28"/>
          <w:szCs w:val="28"/>
        </w:rPr>
        <w:t xml:space="preserve">Department King </w:t>
      </w:r>
      <w:proofErr w:type="spellStart"/>
      <w:r w:rsidRPr="0072520F">
        <w:rPr>
          <w:rFonts w:eastAsia="Calibri"/>
          <w:b/>
          <w:sz w:val="28"/>
          <w:szCs w:val="28"/>
        </w:rPr>
        <w:t>Abdulaziz</w:t>
      </w:r>
      <w:proofErr w:type="spellEnd"/>
      <w:r w:rsidRPr="0072520F">
        <w:rPr>
          <w:rFonts w:eastAsia="Calibri"/>
          <w:b/>
          <w:sz w:val="28"/>
          <w:szCs w:val="28"/>
        </w:rPr>
        <w:t xml:space="preserve"> University (KAU) - College of Business (COB) – Saudi Arabia</w:t>
      </w:r>
    </w:p>
    <w:p w14:paraId="2207CE4C" w14:textId="77777777" w:rsidR="0072520F" w:rsidRPr="0072520F" w:rsidRDefault="0072520F" w:rsidP="00B96506">
      <w:pPr>
        <w:widowControl/>
        <w:bidi w:val="0"/>
        <w:adjustRightInd/>
        <w:spacing w:line="240" w:lineRule="auto"/>
        <w:textAlignment w:val="auto"/>
        <w:rPr>
          <w:rFonts w:eastAsia="Calibri"/>
          <w:b/>
          <w:sz w:val="28"/>
          <w:szCs w:val="28"/>
        </w:rPr>
      </w:pPr>
      <w:r w:rsidRPr="0072520F">
        <w:rPr>
          <w:rFonts w:eastAsia="Calibri"/>
          <w:b/>
          <w:sz w:val="28"/>
          <w:szCs w:val="28"/>
        </w:rPr>
        <w:t>E-mail: asalrefaei@kau.edu.sa</w:t>
      </w:r>
    </w:p>
    <w:p w14:paraId="2081F208" w14:textId="77777777" w:rsidR="0072520F" w:rsidRPr="0072520F" w:rsidRDefault="0072520F" w:rsidP="00B96506">
      <w:pPr>
        <w:widowControl/>
        <w:bidi w:val="0"/>
        <w:adjustRightInd/>
        <w:spacing w:line="240" w:lineRule="auto"/>
        <w:jc w:val="left"/>
        <w:textAlignment w:val="auto"/>
        <w:rPr>
          <w:rFonts w:eastAsia="Calibri"/>
          <w:b/>
          <w:sz w:val="28"/>
          <w:szCs w:val="28"/>
        </w:rPr>
      </w:pPr>
      <w:r w:rsidRPr="0072520F">
        <w:rPr>
          <w:rFonts w:eastAsia="Calibri"/>
          <w:b/>
          <w:sz w:val="28"/>
          <w:szCs w:val="28"/>
        </w:rPr>
        <w:t>Abstract</w:t>
      </w:r>
    </w:p>
    <w:p w14:paraId="342EEE21" w14:textId="77777777" w:rsidR="0072520F" w:rsidRPr="0072520F" w:rsidRDefault="0072520F" w:rsidP="00B96506">
      <w:pPr>
        <w:widowControl/>
        <w:bidi w:val="0"/>
        <w:adjustRightInd/>
        <w:spacing w:line="240" w:lineRule="auto"/>
        <w:textAlignment w:val="auto"/>
        <w:rPr>
          <w:rFonts w:eastAsia="Calibri"/>
          <w:sz w:val="28"/>
          <w:szCs w:val="28"/>
        </w:rPr>
      </w:pPr>
      <w:r w:rsidRPr="0072520F">
        <w:rPr>
          <w:rFonts w:eastAsia="Calibri"/>
          <w:sz w:val="28"/>
          <w:szCs w:val="28"/>
        </w:rPr>
        <w:t xml:space="preserve">LIV Golf is a professional golf tour launched by the Saudi Public Investment Fund as a competitor to the PGA Tour. Prior to the first event of the LIV in June 2022, PGA had warned that it would sanction golfers participating in conflicting to PGA LIV events. It later suspended the LIV event participants from PGA and associated tournaments. In August 2022, a group of the suspended golfers filed an antitrust lawsuit in the US demanding reinstatement in the PGA tour. They were joined by LIV which claimed that such suspension practices would destroy its “ability to maintain a meaningful competitive presence in the markets.” The US Department of Justice also launched an inquiry into the case. The primary issue in the matter seems to be whether PGA’s reaction to LIV consists of legitimate business protection or monopolist practices. This paper attempts to answer this question based on review of the relevant antitrust legal framework in the US. Additionally, the paper will look into possible implications of the likely court decision for golf and professional sports overall. </w:t>
      </w:r>
    </w:p>
    <w:p w14:paraId="07723DEF" w14:textId="3E2C1EE4" w:rsidR="0072520F" w:rsidRPr="0072520F" w:rsidRDefault="0072520F" w:rsidP="00B96506">
      <w:pPr>
        <w:widowControl/>
        <w:bidi w:val="0"/>
        <w:adjustRightInd/>
        <w:spacing w:line="240" w:lineRule="auto"/>
        <w:ind w:left="1414" w:hanging="1414"/>
        <w:jc w:val="left"/>
        <w:textAlignment w:val="auto"/>
        <w:rPr>
          <w:rFonts w:eastAsia="Calibri"/>
          <w:sz w:val="28"/>
          <w:szCs w:val="28"/>
        </w:rPr>
      </w:pPr>
      <w:r w:rsidRPr="0072520F">
        <w:rPr>
          <w:rFonts w:eastAsia="Calibri"/>
          <w:b/>
          <w:sz w:val="28"/>
          <w:szCs w:val="28"/>
        </w:rPr>
        <w:t>Keywords</w:t>
      </w:r>
      <w:r w:rsidRPr="0072520F">
        <w:rPr>
          <w:rFonts w:eastAsia="Calibri"/>
          <w:sz w:val="28"/>
          <w:szCs w:val="28"/>
        </w:rPr>
        <w:t xml:space="preserve">: </w:t>
      </w:r>
      <w:r w:rsidR="00B96506" w:rsidRPr="0072520F">
        <w:rPr>
          <w:rFonts w:eastAsia="Calibri"/>
          <w:sz w:val="28"/>
          <w:szCs w:val="28"/>
        </w:rPr>
        <w:t xml:space="preserve">Professional Golf, Antitrust, </w:t>
      </w:r>
      <w:proofErr w:type="spellStart"/>
      <w:r w:rsidR="00B96506" w:rsidRPr="0072520F">
        <w:rPr>
          <w:rFonts w:eastAsia="Calibri"/>
          <w:sz w:val="28"/>
          <w:szCs w:val="28"/>
        </w:rPr>
        <w:t>Pga</w:t>
      </w:r>
      <w:proofErr w:type="spellEnd"/>
      <w:r w:rsidR="00B96506" w:rsidRPr="0072520F">
        <w:rPr>
          <w:rFonts w:eastAsia="Calibri"/>
          <w:sz w:val="28"/>
          <w:szCs w:val="28"/>
        </w:rPr>
        <w:t xml:space="preserve"> Tour, </w:t>
      </w:r>
      <w:proofErr w:type="spellStart"/>
      <w:r w:rsidR="00B96506" w:rsidRPr="0072520F">
        <w:rPr>
          <w:rFonts w:eastAsia="Calibri"/>
          <w:sz w:val="28"/>
          <w:szCs w:val="28"/>
        </w:rPr>
        <w:t>Liv</w:t>
      </w:r>
      <w:proofErr w:type="spellEnd"/>
      <w:r w:rsidR="00B96506" w:rsidRPr="0072520F">
        <w:rPr>
          <w:rFonts w:eastAsia="Calibri"/>
          <w:sz w:val="28"/>
          <w:szCs w:val="28"/>
        </w:rPr>
        <w:t xml:space="preserve"> Golf, Monopolization, Business Protection, Sports Laws</w:t>
      </w:r>
      <w:r w:rsidRPr="0072520F">
        <w:rPr>
          <w:rFonts w:eastAsia="Calibri"/>
          <w:sz w:val="28"/>
          <w:szCs w:val="28"/>
        </w:rPr>
        <w:t>.</w:t>
      </w:r>
    </w:p>
    <w:p w14:paraId="44BEBA6A" w14:textId="77777777" w:rsidR="0072520F" w:rsidRPr="0072520F" w:rsidRDefault="0072520F" w:rsidP="0072520F">
      <w:pPr>
        <w:widowControl/>
        <w:bidi w:val="0"/>
        <w:adjustRightInd/>
        <w:spacing w:after="160" w:line="259" w:lineRule="auto"/>
        <w:jc w:val="left"/>
        <w:textAlignment w:val="auto"/>
        <w:rPr>
          <w:sz w:val="28"/>
          <w:szCs w:val="28"/>
          <w:rtl/>
        </w:rPr>
      </w:pPr>
      <w:r w:rsidRPr="0072520F">
        <w:rPr>
          <w:sz w:val="28"/>
          <w:szCs w:val="28"/>
          <w:rtl/>
        </w:rPr>
        <w:br w:type="page"/>
      </w:r>
    </w:p>
    <w:p w14:paraId="64023E03" w14:textId="77777777" w:rsidR="0072520F" w:rsidRPr="0072520F" w:rsidRDefault="0072520F" w:rsidP="00B96506">
      <w:pPr>
        <w:widowControl/>
        <w:adjustRightInd/>
        <w:spacing w:line="230" w:lineRule="auto"/>
        <w:jc w:val="center"/>
        <w:textAlignment w:val="auto"/>
        <w:rPr>
          <w:rFonts w:ascii="Simplified Arabic" w:hAnsi="Simplified Arabic" w:cs="Simplified Arabic"/>
          <w:sz w:val="28"/>
          <w:szCs w:val="28"/>
        </w:rPr>
      </w:pPr>
      <w:r w:rsidRPr="0072520F">
        <w:rPr>
          <w:rFonts w:ascii="Simplified Arabic" w:hAnsi="Simplified Arabic" w:cs="Simplified Arabic"/>
          <w:sz w:val="28"/>
          <w:szCs w:val="28"/>
          <w:rtl/>
        </w:rPr>
        <w:lastRenderedPageBreak/>
        <w:t>بسم الله الرحمن الرحيم</w:t>
      </w:r>
    </w:p>
    <w:p w14:paraId="4511DA32" w14:textId="77777777" w:rsidR="0072520F" w:rsidRPr="0072520F" w:rsidRDefault="0072520F" w:rsidP="009E6599">
      <w:pPr>
        <w:widowControl/>
        <w:numPr>
          <w:ilvl w:val="0"/>
          <w:numId w:val="42"/>
        </w:numPr>
        <w:adjustRightInd/>
        <w:spacing w:line="230" w:lineRule="auto"/>
        <w:ind w:left="390"/>
        <w:contextualSpacing/>
        <w:jc w:val="left"/>
        <w:textAlignment w:val="auto"/>
        <w:rPr>
          <w:rFonts w:ascii="Simplified Arabic" w:hAnsi="Simplified Arabic" w:cs="Simplified Arabic"/>
          <w:sz w:val="28"/>
          <w:szCs w:val="28"/>
        </w:rPr>
      </w:pPr>
      <w:r w:rsidRPr="0072520F">
        <w:rPr>
          <w:rFonts w:ascii="Simplified Arabic" w:hAnsi="Simplified Arabic" w:cs="Simplified Arabic"/>
          <w:b/>
          <w:bCs/>
          <w:sz w:val="28"/>
          <w:szCs w:val="28"/>
          <w:rtl/>
        </w:rPr>
        <w:t xml:space="preserve">المقدمة  </w:t>
      </w:r>
    </w:p>
    <w:p w14:paraId="58EC9996" w14:textId="76AE84D8" w:rsidR="0072520F" w:rsidRPr="0072520F" w:rsidRDefault="0072520F" w:rsidP="00B96506">
      <w:pPr>
        <w:widowControl/>
        <w:adjustRightInd/>
        <w:spacing w:line="230" w:lineRule="auto"/>
        <w:ind w:firstLine="567"/>
        <w:jc w:val="lowKashida"/>
        <w:textAlignment w:val="auto"/>
        <w:rPr>
          <w:rFonts w:ascii="Simplified Arabic" w:hAnsi="Simplified Arabic" w:cs="Simplified Arabic"/>
          <w:sz w:val="28"/>
          <w:szCs w:val="28"/>
        </w:rPr>
      </w:pPr>
      <w:r w:rsidRPr="0072520F">
        <w:rPr>
          <w:rFonts w:ascii="Simplified Arabic" w:hAnsi="Simplified Arabic" w:cs="Simplified Arabic"/>
          <w:sz w:val="28"/>
          <w:szCs w:val="28"/>
          <w:rtl/>
        </w:rPr>
        <w:t xml:space="preserve">قضايا مكافحة الاحتكار ليست شيئا جديدًا في الرياضات الاحترافية, نتيجة لأن الرياضة تقوم بتقديم ارباحًا متزايدة باستمرار بسبب تسويق البطولات والفعاليات المختلفة. فقد أصبحت نقطة جذب للمنظمات التي ترغب في زيادة أسهمها في السوق, وذلك بطبيعة الحال أدى إلى تعارض مع مصالح المنظمات الحاكمة التي سيطرت بشكل كبير على اقتصاديات الرياضة على مر التاريخ، ونتيجة لذلك فقد حصلت على النصيب الأعظم من الايرادات. ولعل ذلك ساهم في ظهور دعاوى مكافحة الاحتكار التي تعتبر سلاحًا منطقيًا ليواجه ويحد من هذه الممارسات ولا سيما من خلال النظر في الأطر القانونية القوية لمكافحة الاحتكار في الولايات المتحدة وأوروبا. ونتيجة لاستخدام تلك الأٌطر غالبًا ما يتحدى المدّعون هياكل وممارسات </w:t>
      </w:r>
      <w:proofErr w:type="spellStart"/>
      <w:r w:rsidRPr="0072520F">
        <w:rPr>
          <w:rFonts w:ascii="Simplified Arabic" w:hAnsi="Simplified Arabic" w:cs="Simplified Arabic"/>
          <w:sz w:val="28"/>
          <w:szCs w:val="28"/>
          <w:rtl/>
        </w:rPr>
        <w:t>الحوكمة</w:t>
      </w:r>
      <w:proofErr w:type="spellEnd"/>
      <w:r w:rsidRPr="0072520F">
        <w:rPr>
          <w:rFonts w:ascii="Simplified Arabic" w:hAnsi="Simplified Arabic" w:cs="Simplified Arabic"/>
          <w:sz w:val="28"/>
          <w:szCs w:val="28"/>
          <w:rtl/>
        </w:rPr>
        <w:t xml:space="preserve"> الحالية من أجل تقليل قوة المنظمات الجامعة.</w:t>
      </w:r>
    </w:p>
    <w:p w14:paraId="07CCFF24" w14:textId="202B56CB" w:rsidR="0072520F" w:rsidRPr="0072520F" w:rsidRDefault="0072520F" w:rsidP="00B96506">
      <w:pPr>
        <w:widowControl/>
        <w:adjustRightInd/>
        <w:spacing w:line="23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ومع ذلك, نظرًا للطبيعة الخاصة لصناعة الرياضات الاحترافية, فقد تم النظر في قضايا مكافحة الاحتكار في سياق محدد. وكما هو معروف منذ زمنٍ طويل, بأن الاتحادات الرياضية تشابه المشاريع المشتركة التي تتكون من منظمين (منظمات حاكمة) ومشاركين (أندية أو لاعبين فرديين)</w:t>
      </w:r>
      <w:r w:rsidRPr="00B96506">
        <w:rPr>
          <w:rFonts w:ascii="Simplified Arabic" w:hAnsi="Simplified Arabic" w:cs="Simplified Arabic"/>
          <w:sz w:val="28"/>
          <w:szCs w:val="28"/>
          <w:vertAlign w:val="superscript"/>
          <w:rtl/>
        </w:rPr>
        <w:footnoteReference w:id="2"/>
      </w:r>
      <w:r w:rsidRPr="0072520F">
        <w:rPr>
          <w:rFonts w:ascii="Simplified Arabic" w:hAnsi="Simplified Arabic" w:cs="Simplified Arabic"/>
          <w:sz w:val="28"/>
          <w:szCs w:val="28"/>
          <w:rtl/>
        </w:rPr>
        <w:t>. إذ أن الهدف الأساسي لهذه المشاريع هو الحفاظ على التوازن التنافسي الجيد وتحقيقه ما قد يجعل الرياضة أكثر جاذبية</w:t>
      </w:r>
      <w:r w:rsidRPr="00B96506">
        <w:rPr>
          <w:rFonts w:ascii="Simplified Arabic" w:hAnsi="Simplified Arabic" w:cs="Simplified Arabic"/>
          <w:sz w:val="28"/>
          <w:szCs w:val="28"/>
          <w:vertAlign w:val="superscript"/>
          <w:rtl/>
        </w:rPr>
        <w:footnoteReference w:id="3"/>
      </w:r>
      <w:r w:rsidRPr="0072520F">
        <w:rPr>
          <w:rFonts w:ascii="Simplified Arabic" w:hAnsi="Simplified Arabic" w:cs="Simplified Arabic"/>
          <w:sz w:val="28"/>
          <w:szCs w:val="28"/>
          <w:rtl/>
        </w:rPr>
        <w:t xml:space="preserve">. وعلى هذا </w:t>
      </w:r>
      <w:r w:rsidRPr="0072520F">
        <w:rPr>
          <w:rFonts w:ascii="Simplified Arabic" w:hAnsi="Simplified Arabic" w:cs="Simplified Arabic"/>
          <w:sz w:val="28"/>
          <w:szCs w:val="28"/>
          <w:rtl/>
        </w:rPr>
        <w:lastRenderedPageBreak/>
        <w:t>النحو، فإن البطولات الرياضية الاحترافية تُمثل نشاطًا تجاريًا فريدًا يحتوي على مزيج غير مألوف ولكنه ضروري من المنافسة والتعاون بين المشاركين</w:t>
      </w:r>
      <w:r w:rsidRPr="00B96506">
        <w:rPr>
          <w:rFonts w:ascii="Simplified Arabic" w:hAnsi="Simplified Arabic" w:cs="Simplified Arabic"/>
          <w:sz w:val="28"/>
          <w:szCs w:val="28"/>
          <w:vertAlign w:val="superscript"/>
          <w:rtl/>
        </w:rPr>
        <w:footnoteReference w:id="4"/>
      </w:r>
      <w:r w:rsidRPr="0072520F">
        <w:rPr>
          <w:rFonts w:ascii="Simplified Arabic" w:hAnsi="Simplified Arabic" w:cs="Simplified Arabic"/>
          <w:sz w:val="28"/>
          <w:szCs w:val="28"/>
          <w:rtl/>
        </w:rPr>
        <w:t xml:space="preserve">. وعلى ضوء الطبيعة الخاصة للأعمال التجارية والرياضات الاحترافية عامة, فقد حاولت المنظمات الحاكمة للاتحادات الرياضية الحصول على اعفاءات من قوانين مكافحة الاحتكار، إلا أن المحاكم وجدت أن هيكل وطبيعة الصناعة وحدهما غير كافيين لمنح هذه الحصانة. </w:t>
      </w:r>
      <w:r w:rsidRPr="00B96506">
        <w:rPr>
          <w:rFonts w:ascii="Simplified Arabic" w:hAnsi="Simplified Arabic" w:cs="Simplified Arabic"/>
          <w:sz w:val="28"/>
          <w:szCs w:val="28"/>
          <w:vertAlign w:val="superscript"/>
          <w:rtl/>
        </w:rPr>
        <w:footnoteReference w:id="5"/>
      </w:r>
    </w:p>
    <w:p w14:paraId="5E64ADEA" w14:textId="39AD7B32" w:rsidR="0072520F" w:rsidRPr="0072520F" w:rsidRDefault="0072520F" w:rsidP="00B96506">
      <w:pPr>
        <w:widowControl/>
        <w:shd w:val="clear" w:color="auto" w:fill="FFFFFF"/>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ونظرا للطبيعة الخاصة للنظام القانوني في الولايات المتحدة الأمريكية، مكان القضية، والتي تطبق نظام السوابق القضائية المستندة على أحكام المحاكم. </w:t>
      </w:r>
      <w:proofErr w:type="spellStart"/>
      <w:r w:rsidRPr="0072520F">
        <w:rPr>
          <w:rFonts w:ascii="Simplified Arabic" w:hAnsi="Simplified Arabic" w:cs="Simplified Arabic"/>
          <w:sz w:val="28"/>
          <w:szCs w:val="28"/>
          <w:rtl/>
        </w:rPr>
        <w:t>وللإستزادة</w:t>
      </w:r>
      <w:proofErr w:type="spellEnd"/>
      <w:r w:rsidRPr="0072520F">
        <w:rPr>
          <w:rFonts w:ascii="Simplified Arabic" w:hAnsi="Simplified Arabic" w:cs="Simplified Arabic"/>
          <w:sz w:val="28"/>
          <w:szCs w:val="28"/>
          <w:rtl/>
        </w:rPr>
        <w:t xml:space="preserve"> في موضوع أنظمة مكافحة </w:t>
      </w:r>
      <w:proofErr w:type="spellStart"/>
      <w:r w:rsidRPr="0072520F">
        <w:rPr>
          <w:rFonts w:ascii="Simplified Arabic" w:hAnsi="Simplified Arabic" w:cs="Simplified Arabic"/>
          <w:sz w:val="28"/>
          <w:szCs w:val="28"/>
          <w:rtl/>
        </w:rPr>
        <w:t>الإحتكار</w:t>
      </w:r>
      <w:proofErr w:type="spellEnd"/>
      <w:r w:rsidRPr="0072520F">
        <w:rPr>
          <w:rFonts w:ascii="Simplified Arabic" w:hAnsi="Simplified Arabic" w:cs="Simplified Arabic"/>
          <w:sz w:val="28"/>
          <w:szCs w:val="28"/>
          <w:rtl/>
        </w:rPr>
        <w:t xml:space="preserve"> وتشجيع التنافسية، آمل </w:t>
      </w:r>
      <w:proofErr w:type="spellStart"/>
      <w:r w:rsidRPr="0072520F">
        <w:rPr>
          <w:rFonts w:ascii="Simplified Arabic" w:hAnsi="Simplified Arabic" w:cs="Simplified Arabic"/>
          <w:sz w:val="28"/>
          <w:szCs w:val="28"/>
          <w:rtl/>
        </w:rPr>
        <w:t>الإطلاع</w:t>
      </w:r>
      <w:proofErr w:type="spellEnd"/>
      <w:r w:rsidRPr="0072520F">
        <w:rPr>
          <w:rFonts w:ascii="Simplified Arabic" w:hAnsi="Simplified Arabic" w:cs="Simplified Arabic"/>
          <w:sz w:val="28"/>
          <w:szCs w:val="28"/>
          <w:rtl/>
        </w:rPr>
        <w:t xml:space="preserve"> على </w:t>
      </w:r>
      <w:r w:rsidRPr="0072520F">
        <w:rPr>
          <w:rFonts w:ascii="Simplified Arabic" w:eastAsia="Calibri" w:hAnsi="Simplified Arabic" w:cs="Simplified Arabic"/>
          <w:sz w:val="28"/>
          <w:szCs w:val="28"/>
          <w:shd w:val="clear" w:color="auto" w:fill="FFFFFF"/>
          <w:rtl/>
        </w:rPr>
        <w:t>قانون حماية المنافسة ومنع الممارسات الاحتكارية المصري رقم 3 لسنة 2005</w:t>
      </w:r>
      <w:r w:rsidRPr="0072520F">
        <w:rPr>
          <w:rFonts w:ascii="Simplified Arabic" w:eastAsia="Calibri" w:hAnsi="Simplified Arabic" w:cs="Simplified Arabic"/>
          <w:sz w:val="28"/>
          <w:szCs w:val="28"/>
          <w:shd w:val="clear" w:color="auto" w:fill="FFFFFF"/>
        </w:rPr>
        <w:t xml:space="preserve"> </w:t>
      </w:r>
      <w:r w:rsidRPr="0072520F">
        <w:rPr>
          <w:rFonts w:ascii="Simplified Arabic" w:eastAsia="Calibri" w:hAnsi="Simplified Arabic" w:cs="Simplified Arabic"/>
          <w:sz w:val="28"/>
          <w:szCs w:val="28"/>
          <w:shd w:val="clear" w:color="auto" w:fill="FFFFFF"/>
          <w:rtl/>
        </w:rPr>
        <w:t>وتعديلاته</w:t>
      </w:r>
      <w:r w:rsidRPr="00B96506">
        <w:rPr>
          <w:rFonts w:ascii="Simplified Arabic" w:eastAsia="Calibri" w:hAnsi="Simplified Arabic" w:cs="Simplified Arabic"/>
          <w:sz w:val="28"/>
          <w:szCs w:val="28"/>
          <w:shd w:val="clear" w:color="auto" w:fill="FFFFFF"/>
          <w:vertAlign w:val="superscript"/>
          <w:rtl/>
        </w:rPr>
        <w:footnoteReference w:id="6"/>
      </w:r>
      <w:r w:rsidRPr="0072520F">
        <w:rPr>
          <w:rFonts w:ascii="Simplified Arabic" w:hAnsi="Simplified Arabic" w:cs="Simplified Arabic"/>
          <w:sz w:val="28"/>
          <w:szCs w:val="28"/>
          <w:rtl/>
        </w:rPr>
        <w:t>، وكذلك نظام المنافسة السعودي الصادر بقرار مجلس الوزراء رقم 372 بتاريخ 28/6/ 1440</w:t>
      </w:r>
      <w:r w:rsidRPr="00B96506">
        <w:rPr>
          <w:rFonts w:ascii="Simplified Arabic" w:hAnsi="Simplified Arabic" w:cs="Simplified Arabic"/>
          <w:sz w:val="28"/>
          <w:szCs w:val="28"/>
          <w:vertAlign w:val="superscript"/>
          <w:rtl/>
        </w:rPr>
        <w:footnoteReference w:id="7"/>
      </w:r>
      <w:r w:rsidRPr="0072520F">
        <w:rPr>
          <w:rFonts w:ascii="Simplified Arabic" w:hAnsi="Simplified Arabic" w:cs="Simplified Arabic"/>
          <w:sz w:val="28"/>
          <w:szCs w:val="28"/>
          <w:rtl/>
        </w:rPr>
        <w:t>.</w:t>
      </w:r>
    </w:p>
    <w:p w14:paraId="5770DFCB" w14:textId="503EF63D"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proofErr w:type="spellStart"/>
      <w:r w:rsidRPr="0072520F">
        <w:rPr>
          <w:rFonts w:ascii="Simplified Arabic" w:hAnsi="Simplified Arabic" w:cs="Simplified Arabic"/>
          <w:sz w:val="28"/>
          <w:szCs w:val="28"/>
          <w:rtl/>
        </w:rPr>
        <w:lastRenderedPageBreak/>
        <w:t>وبناءًا</w:t>
      </w:r>
      <w:proofErr w:type="spellEnd"/>
      <w:r w:rsidRPr="0072520F">
        <w:rPr>
          <w:rFonts w:ascii="Simplified Arabic" w:hAnsi="Simplified Arabic" w:cs="Simplified Arabic"/>
          <w:sz w:val="28"/>
          <w:szCs w:val="28"/>
          <w:rtl/>
        </w:rPr>
        <w:t xml:space="preserve"> على ذلك, فإن هذه الدراسة تبحث في ما يمكن أن يصبح قضية رئيسية لمكافحة الاحتكار في الرياضة في المستقبل القريب. وقد تم تأسيس جولة الغولف الاحترافية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footnoteReference w:id="8"/>
      </w:r>
      <w:r w:rsidRPr="0072520F">
        <w:rPr>
          <w:rFonts w:ascii="Simplified Arabic" w:hAnsi="Simplified Arabic" w:cs="Simplified Arabic"/>
          <w:sz w:val="28"/>
          <w:szCs w:val="28"/>
          <w:rtl/>
        </w:rPr>
        <w:t xml:space="preserve">  بدعم من صندوق الاستثمارات العامة السعودي في عام </w:t>
      </w:r>
      <w:r w:rsidRPr="0072520F">
        <w:rPr>
          <w:rFonts w:ascii="Simplified Arabic" w:hAnsi="Simplified Arabic" w:cs="Simplified Arabic"/>
          <w:sz w:val="28"/>
          <w:szCs w:val="28"/>
        </w:rPr>
        <w:t>2022</w:t>
      </w:r>
      <w:r w:rsidRPr="0072520F">
        <w:rPr>
          <w:rFonts w:ascii="Simplified Arabic" w:hAnsi="Simplified Arabic" w:cs="Simplified Arabic"/>
          <w:sz w:val="28"/>
          <w:szCs w:val="28"/>
          <w:rtl/>
        </w:rPr>
        <w:t xml:space="preserve"> والتي تُعتبر كمنافس في جولة اتحاد الغولف المحترف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footnoteReference w:id="9"/>
      </w:r>
      <w:r w:rsidRPr="0072520F">
        <w:rPr>
          <w:rFonts w:ascii="Simplified Arabic" w:hAnsi="Simplified Arabic" w:cs="Simplified Arabic"/>
          <w:sz w:val="28"/>
          <w:szCs w:val="28"/>
          <w:rtl/>
        </w:rPr>
        <w:t xml:space="preserve"> حيث حذرت هذه الرابطة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انها ستعاقب لاعبي الغولف المشاركين في الفعاليات المتضاربة بين جولتي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و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 قبل القيام بأول جولة من جولات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في شهر يونيو عام </w:t>
      </w:r>
      <w:r w:rsidRPr="0072520F">
        <w:rPr>
          <w:rFonts w:ascii="Simplified Arabic" w:hAnsi="Simplified Arabic" w:cs="Simplified Arabic"/>
          <w:sz w:val="28"/>
          <w:szCs w:val="28"/>
        </w:rPr>
        <w:t>2022</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t xml:space="preserve"> </w:t>
      </w:r>
      <w:r w:rsidRPr="00B96506">
        <w:rPr>
          <w:rFonts w:ascii="Simplified Arabic" w:hAnsi="Simplified Arabic" w:cs="Simplified Arabic"/>
          <w:sz w:val="28"/>
          <w:szCs w:val="28"/>
          <w:vertAlign w:val="superscript"/>
          <w:rtl/>
        </w:rPr>
        <w:footnoteReference w:id="10"/>
      </w:r>
      <w:r w:rsidRPr="0072520F">
        <w:rPr>
          <w:rFonts w:ascii="Simplified Arabic" w:hAnsi="Simplified Arabic" w:cs="Simplified Arabic"/>
          <w:sz w:val="28"/>
          <w:szCs w:val="28"/>
          <w:rtl/>
        </w:rPr>
        <w:t xml:space="preserve"> وأيضا قامت على تعطيل عمل المشاركين في جولات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من تلك الرابطة وأي بطولات مرتبطة بها, مما دفع هؤلاء المشاركين برفع دعوى قضائية في شهر أغسطس عام </w:t>
      </w:r>
      <w:r w:rsidRPr="0072520F">
        <w:rPr>
          <w:rFonts w:ascii="Simplified Arabic" w:hAnsi="Simplified Arabic" w:cs="Simplified Arabic"/>
          <w:sz w:val="28"/>
          <w:szCs w:val="28"/>
        </w:rPr>
        <w:t>2022</w:t>
      </w:r>
      <w:r w:rsidRPr="0072520F">
        <w:rPr>
          <w:rFonts w:ascii="Simplified Arabic" w:hAnsi="Simplified Arabic" w:cs="Simplified Arabic"/>
          <w:sz w:val="28"/>
          <w:szCs w:val="28"/>
          <w:rtl/>
        </w:rPr>
        <w:t>, مطالبين بعودتهم إلى 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footnoteReference w:id="11"/>
      </w:r>
      <w:r w:rsidRPr="0072520F">
        <w:rPr>
          <w:rFonts w:ascii="Simplified Arabic" w:hAnsi="Simplified Arabic" w:cs="Simplified Arabic"/>
          <w:sz w:val="28"/>
          <w:szCs w:val="28"/>
          <w:rtl/>
        </w:rPr>
        <w:t>, ثم قامت رابطة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بالانضمام إليهم مدّعية أن ما تم من ممارسات بتعطيل المشاركين عن عملهم سيودي بتدمير "قدرتها على الحفاظ علي وجود منافسة ذات مغزى في الأسواق". وقد أدّى ذلك إلى فتح </w:t>
      </w:r>
      <w:r w:rsidRPr="0072520F">
        <w:rPr>
          <w:rFonts w:ascii="Simplified Arabic" w:hAnsi="Simplified Arabic" w:cs="Simplified Arabic"/>
          <w:sz w:val="28"/>
          <w:szCs w:val="28"/>
          <w:rtl/>
        </w:rPr>
        <w:lastRenderedPageBreak/>
        <w:t>تحقيق في هذه القضية من خلال وزارة العدل الأمريكية، حيث يبدو أن القضية الأساسية في هذا الأمر هي معرفة ما إذا كان رد فعل رابطة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على رابطة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يتكون من حماية تجارية مشروعة </w:t>
      </w:r>
      <w:r w:rsidR="00B96506">
        <w:rPr>
          <w:rFonts w:ascii="Simplified Arabic" w:hAnsi="Simplified Arabic" w:cs="Simplified Arabic" w:hint="cs"/>
          <w:sz w:val="28"/>
          <w:szCs w:val="28"/>
          <w:rtl/>
        </w:rPr>
        <w:br/>
      </w:r>
      <w:r w:rsidRPr="0072520F">
        <w:rPr>
          <w:rFonts w:ascii="Simplified Arabic" w:hAnsi="Simplified Arabic" w:cs="Simplified Arabic"/>
          <w:sz w:val="28"/>
          <w:szCs w:val="28"/>
          <w:rtl/>
        </w:rPr>
        <w:t>أو ممارسات احتكارية.</w:t>
      </w:r>
      <w:r w:rsidRPr="00B96506">
        <w:rPr>
          <w:rFonts w:ascii="Simplified Arabic" w:hAnsi="Simplified Arabic" w:cs="Simplified Arabic"/>
          <w:sz w:val="28"/>
          <w:szCs w:val="28"/>
          <w:vertAlign w:val="superscript"/>
          <w:rtl/>
        </w:rPr>
        <w:footnoteReference w:id="12"/>
      </w:r>
      <w:r w:rsidRPr="0072520F">
        <w:rPr>
          <w:rFonts w:ascii="Simplified Arabic" w:hAnsi="Simplified Arabic" w:cs="Simplified Arabic"/>
          <w:sz w:val="28"/>
          <w:szCs w:val="28"/>
          <w:rtl/>
        </w:rPr>
        <w:t xml:space="preserve"> </w:t>
      </w:r>
    </w:p>
    <w:p w14:paraId="20465D45" w14:textId="77777777" w:rsidR="0072520F" w:rsidRPr="0072520F" w:rsidRDefault="0072520F" w:rsidP="009E6599">
      <w:pPr>
        <w:widowControl/>
        <w:numPr>
          <w:ilvl w:val="0"/>
          <w:numId w:val="42"/>
        </w:numPr>
        <w:adjustRightInd/>
        <w:spacing w:line="240" w:lineRule="auto"/>
        <w:ind w:left="390"/>
        <w:contextualSpacing/>
        <w:jc w:val="left"/>
        <w:textAlignment w:val="auto"/>
        <w:rPr>
          <w:rFonts w:ascii="Simplified Arabic" w:hAnsi="Simplified Arabic" w:cs="Simplified Arabic"/>
          <w:b/>
          <w:bCs/>
          <w:sz w:val="28"/>
          <w:szCs w:val="28"/>
        </w:rPr>
      </w:pPr>
      <w:r w:rsidRPr="0072520F">
        <w:rPr>
          <w:rFonts w:ascii="Simplified Arabic" w:hAnsi="Simplified Arabic" w:cs="Simplified Arabic"/>
          <w:b/>
          <w:bCs/>
          <w:sz w:val="28"/>
          <w:szCs w:val="28"/>
          <w:rtl/>
        </w:rPr>
        <w:t xml:space="preserve"> جولة (</w:t>
      </w:r>
      <w:r w:rsidRPr="0072520F">
        <w:rPr>
          <w:rFonts w:ascii="Simplified Arabic" w:hAnsi="Simplified Arabic" w:cs="Simplified Arabic"/>
          <w:b/>
          <w:bCs/>
          <w:sz w:val="28"/>
          <w:szCs w:val="28"/>
        </w:rPr>
        <w:t>GPA</w:t>
      </w:r>
      <w:r w:rsidRPr="0072520F">
        <w:rPr>
          <w:rFonts w:ascii="Simplified Arabic" w:hAnsi="Simplified Arabic" w:cs="Simplified Arabic"/>
          <w:b/>
          <w:bCs/>
          <w:sz w:val="28"/>
          <w:szCs w:val="28"/>
          <w:rtl/>
        </w:rPr>
        <w:t>) و (</w:t>
      </w:r>
      <w:r w:rsidRPr="0072520F">
        <w:rPr>
          <w:rFonts w:ascii="Simplified Arabic" w:hAnsi="Simplified Arabic" w:cs="Simplified Arabic"/>
          <w:b/>
          <w:bCs/>
          <w:sz w:val="28"/>
          <w:szCs w:val="28"/>
        </w:rPr>
        <w:t>(LIV</w:t>
      </w:r>
    </w:p>
    <w:p w14:paraId="4674D078" w14:textId="77777777" w:rsidR="0072520F" w:rsidRPr="0072520F" w:rsidRDefault="0072520F" w:rsidP="00B96506">
      <w:pPr>
        <w:widowControl/>
        <w:adjustRightInd/>
        <w:spacing w:line="240" w:lineRule="auto"/>
        <w:jc w:val="left"/>
        <w:textAlignment w:val="auto"/>
        <w:rPr>
          <w:rFonts w:ascii="Simplified Arabic" w:hAnsi="Simplified Arabic" w:cs="Simplified Arabic"/>
          <w:b/>
          <w:bCs/>
          <w:sz w:val="28"/>
          <w:szCs w:val="28"/>
          <w:u w:val="single"/>
        </w:rPr>
      </w:pPr>
      <w:r w:rsidRPr="0072520F">
        <w:rPr>
          <w:rFonts w:ascii="Simplified Arabic" w:hAnsi="Simplified Arabic" w:cs="Simplified Arabic"/>
          <w:b/>
          <w:bCs/>
          <w:sz w:val="28"/>
          <w:szCs w:val="28"/>
          <w:u w:val="single"/>
          <w:rtl/>
        </w:rPr>
        <w:t>نظرة تاريخية موجزة</w:t>
      </w:r>
    </w:p>
    <w:p w14:paraId="0A6E7279" w14:textId="1A797255"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قام العديد من لاعبي الغولف المحترفين بتأسيس جولة لاعبي الغولف الاحترافية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 يشار لها خلال هذه الدراسة بمسمى الجولة - كمنظمة للتفاوض بشكلٍ جماعي حول حقوق وسائل الإعلام ورعاية فعاليات الغولف. فقد انفصلت الجولة عن رابطة لاعبي الغولف المحترفين الأمريكيين التي قامت بدورها بتنظيم وإدارة فعالية الغولف الاحترافية منذ عام </w:t>
      </w:r>
      <w:r w:rsidRPr="0072520F">
        <w:rPr>
          <w:rFonts w:ascii="Simplified Arabic" w:hAnsi="Simplified Arabic" w:cs="Simplified Arabic"/>
          <w:sz w:val="28"/>
          <w:szCs w:val="28"/>
        </w:rPr>
        <w:t>1916</w:t>
      </w:r>
      <w:r w:rsidRPr="0072520F">
        <w:rPr>
          <w:rFonts w:ascii="Simplified Arabic" w:hAnsi="Simplified Arabic" w:cs="Simplified Arabic"/>
          <w:sz w:val="28"/>
          <w:szCs w:val="28"/>
          <w:rtl/>
        </w:rPr>
        <w:t xml:space="preserve">. حيث كان السبب وراء إنشاء هذه الجولة هو الرغبة في تحسين ظروف اللعب وصرف المستحقات المالية للمشاركين في الفعالية. غير أنه تم تسجيل هذه المنظمة كمنظمة غير ربحية من دون ملكية خاصة, فإن عائدات الجولة المقدمة من الرعاة وعقود وسائل الإعلام تم صرفها للأعضاء بينما يذهب المتبقي منها لتمويل عمليات الغولف وترويجها ولجهات أخرى مثل المؤسسات الخيرية. وفقًا للبيانات المالية للجولة, فقد حققت إيرادات تفوق </w:t>
      </w:r>
      <w:r w:rsidRPr="0072520F">
        <w:rPr>
          <w:rFonts w:ascii="Simplified Arabic" w:hAnsi="Simplified Arabic" w:cs="Simplified Arabic"/>
          <w:sz w:val="28"/>
          <w:szCs w:val="28"/>
        </w:rPr>
        <w:t>1.1</w:t>
      </w:r>
      <w:r w:rsidRPr="0072520F">
        <w:rPr>
          <w:rFonts w:ascii="Simplified Arabic" w:hAnsi="Simplified Arabic" w:cs="Simplified Arabic"/>
          <w:sz w:val="28"/>
          <w:szCs w:val="28"/>
          <w:rtl/>
        </w:rPr>
        <w:t xml:space="preserve"> مليار دولار في عام </w:t>
      </w:r>
      <w:r w:rsidRPr="0072520F">
        <w:rPr>
          <w:rFonts w:ascii="Simplified Arabic" w:hAnsi="Simplified Arabic" w:cs="Simplified Arabic"/>
          <w:sz w:val="28"/>
          <w:szCs w:val="28"/>
        </w:rPr>
        <w:t>2020</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footnoteReference w:id="13"/>
      </w:r>
      <w:r w:rsidRPr="0072520F">
        <w:rPr>
          <w:rFonts w:ascii="Simplified Arabic" w:hAnsi="Simplified Arabic" w:cs="Simplified Arabic"/>
          <w:sz w:val="28"/>
          <w:szCs w:val="28"/>
          <w:rtl/>
        </w:rPr>
        <w:t xml:space="preserve"> </w:t>
      </w:r>
    </w:p>
    <w:p w14:paraId="4A2A4E7E" w14:textId="77777777"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lastRenderedPageBreak/>
        <w:t xml:space="preserve">كما أنها على مدار فترة وجودها, أصبحت الجولة المنظمة المهيمنة في لعبة الغولف الاحترافية, باستثناء البطولات الأربع الكبرى وعدد قليل من البطولات الأخرى كبطولة (كأس </w:t>
      </w:r>
      <w:proofErr w:type="spellStart"/>
      <w:r w:rsidRPr="0072520F">
        <w:rPr>
          <w:rFonts w:ascii="Simplified Arabic" w:hAnsi="Simplified Arabic" w:cs="Simplified Arabic"/>
          <w:sz w:val="28"/>
          <w:szCs w:val="28"/>
          <w:rtl/>
        </w:rPr>
        <w:t>رايدر</w:t>
      </w:r>
      <w:proofErr w:type="spellEnd"/>
      <w:r w:rsidRPr="0072520F">
        <w:rPr>
          <w:rFonts w:ascii="Simplified Arabic" w:hAnsi="Simplified Arabic" w:cs="Simplified Arabic"/>
          <w:sz w:val="28"/>
          <w:szCs w:val="28"/>
          <w:rtl/>
        </w:rPr>
        <w:t>), فإنها تنظم جميع فعاليات الغولف الاحترافية الرئيسية في الولايات المتحدة. كما شكلت تحالفًا استراتيجيًا مع جولة الغولف الأوروبية حول حقوق البث والمشاركة و الجوائز والفرص التجارية الأخرى .</w:t>
      </w:r>
      <w:r w:rsidRPr="00B96506">
        <w:rPr>
          <w:rFonts w:ascii="Simplified Arabic" w:hAnsi="Simplified Arabic" w:cs="Simplified Arabic"/>
          <w:sz w:val="28"/>
          <w:szCs w:val="28"/>
          <w:vertAlign w:val="superscript"/>
          <w:rtl/>
        </w:rPr>
        <w:footnoteReference w:id="14"/>
      </w:r>
    </w:p>
    <w:p w14:paraId="54121D00" w14:textId="77777777"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Pr>
      </w:pPr>
      <w:r w:rsidRPr="0072520F">
        <w:rPr>
          <w:rFonts w:ascii="Simplified Arabic" w:hAnsi="Simplified Arabic" w:cs="Simplified Arabic"/>
          <w:sz w:val="28"/>
          <w:szCs w:val="28"/>
          <w:rtl/>
        </w:rPr>
        <w:t>كانت البداية الرسمية لجولة الغولف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في شهر أكتوبر عام </w:t>
      </w:r>
      <w:r w:rsidRPr="0072520F">
        <w:rPr>
          <w:rFonts w:ascii="Simplified Arabic" w:hAnsi="Simplified Arabic" w:cs="Simplified Arabic"/>
          <w:sz w:val="28"/>
          <w:szCs w:val="28"/>
        </w:rPr>
        <w:t>2021</w:t>
      </w:r>
      <w:r w:rsidRPr="0072520F">
        <w:rPr>
          <w:rFonts w:ascii="Simplified Arabic" w:hAnsi="Simplified Arabic" w:cs="Simplified Arabic"/>
          <w:sz w:val="28"/>
          <w:szCs w:val="28"/>
          <w:rtl/>
        </w:rPr>
        <w:t xml:space="preserve"> بتمويل من الصندوق السعودي للاستثمارات العامة(</w:t>
      </w:r>
      <w:r w:rsidRPr="0072520F">
        <w:rPr>
          <w:rFonts w:ascii="Simplified Arabic" w:hAnsi="Simplified Arabic" w:cs="Simplified Arabic"/>
          <w:sz w:val="28"/>
          <w:szCs w:val="28"/>
        </w:rPr>
        <w:t>PIF</w:t>
      </w:r>
      <w:r w:rsidRPr="0072520F">
        <w:rPr>
          <w:rFonts w:ascii="Simplified Arabic" w:hAnsi="Simplified Arabic" w:cs="Simplified Arabic"/>
          <w:sz w:val="28"/>
          <w:szCs w:val="28"/>
          <w:rtl/>
        </w:rPr>
        <w:t>) . فقامت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بوضع نفسها بديلًا مباشرًا لجولة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إضافة إلى أنها أعلنت سلسلة من الفعاليات الاحترافية عام </w:t>
      </w:r>
      <w:r w:rsidRPr="0072520F">
        <w:rPr>
          <w:rFonts w:ascii="Simplified Arabic" w:hAnsi="Simplified Arabic" w:cs="Simplified Arabic"/>
          <w:sz w:val="28"/>
          <w:szCs w:val="28"/>
        </w:rPr>
        <w:t>2022</w:t>
      </w:r>
      <w:r w:rsidRPr="0072520F">
        <w:rPr>
          <w:rFonts w:ascii="Simplified Arabic" w:hAnsi="Simplified Arabic" w:cs="Simplified Arabic"/>
          <w:sz w:val="28"/>
          <w:szCs w:val="28"/>
          <w:rtl/>
        </w:rPr>
        <w:t xml:space="preserve"> بجوائز مادية تبلغ قيمتها </w:t>
      </w:r>
      <w:r w:rsidRPr="0072520F">
        <w:rPr>
          <w:rFonts w:ascii="Simplified Arabic" w:hAnsi="Simplified Arabic" w:cs="Simplified Arabic"/>
          <w:sz w:val="28"/>
          <w:szCs w:val="28"/>
        </w:rPr>
        <w:t>255</w:t>
      </w:r>
      <w:r w:rsidRPr="0072520F">
        <w:rPr>
          <w:rFonts w:ascii="Simplified Arabic" w:hAnsi="Simplified Arabic" w:cs="Simplified Arabic"/>
          <w:sz w:val="28"/>
          <w:szCs w:val="28"/>
          <w:rtl/>
        </w:rPr>
        <w:t xml:space="preserve"> مليون دولار.</w:t>
      </w:r>
      <w:r w:rsidRPr="00B96506">
        <w:rPr>
          <w:rFonts w:ascii="Simplified Arabic" w:hAnsi="Simplified Arabic" w:cs="Simplified Arabic"/>
          <w:sz w:val="28"/>
          <w:szCs w:val="28"/>
          <w:vertAlign w:val="superscript"/>
          <w:rtl/>
        </w:rPr>
        <w:footnoteReference w:id="15"/>
      </w:r>
      <w:r w:rsidRPr="0072520F">
        <w:rPr>
          <w:rFonts w:ascii="Simplified Arabic" w:hAnsi="Simplified Arabic" w:cs="Simplified Arabic"/>
          <w:sz w:val="28"/>
          <w:szCs w:val="28"/>
          <w:rtl/>
        </w:rPr>
        <w:t xml:space="preserve"> خلافًا لجولة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فإن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كانت تضمن دفعات مالية لجميع المشاركين بغض النظر عن المكان، وقد تمكنت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في الفعالية الأولى التي أقيمت في التاسع من يونيو عام </w:t>
      </w:r>
      <w:r w:rsidRPr="0072520F">
        <w:rPr>
          <w:rFonts w:ascii="Simplified Arabic" w:hAnsi="Simplified Arabic" w:cs="Simplified Arabic"/>
          <w:sz w:val="28"/>
          <w:szCs w:val="28"/>
        </w:rPr>
        <w:t>2022</w:t>
      </w:r>
      <w:r w:rsidRPr="0072520F">
        <w:rPr>
          <w:rFonts w:ascii="Simplified Arabic" w:hAnsi="Simplified Arabic" w:cs="Simplified Arabic"/>
          <w:sz w:val="28"/>
          <w:szCs w:val="28"/>
          <w:rtl/>
        </w:rPr>
        <w:t xml:space="preserve"> من التعاقد مع العشرات من لاعبي الغولف البارزين, بما في ذلك اللاعبون العالميون السابقون والفائزون في بطولات الغولف الكبرى. ولكن بعد إصدار التحذير لجميع اللاعبين قبل الفعالية, فقد تم إيقاف جميع المشاركين في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من البطولات اللاحقة تحت مظلتها. مما أدى إلى رفع دعوى </w:t>
      </w:r>
      <w:r w:rsidRPr="0072520F">
        <w:rPr>
          <w:rFonts w:ascii="Simplified Arabic" w:hAnsi="Simplified Arabic" w:cs="Simplified Arabic"/>
          <w:sz w:val="28"/>
          <w:szCs w:val="28"/>
          <w:rtl/>
        </w:rPr>
        <w:lastRenderedPageBreak/>
        <w:t>قضائية من قبل عدد من اللاعبين على أُسس مكافحة الاحتكار, حيث انضمت لاحقًا رابطة غولف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إليهم لمنع ممارسة الجولة. ومن ثم تم رفع الدعوى إلى محكمة المقاطعة الشمالية في كاليفورنيا, مما يعني ذلك أن هذه القضية ستتم محاكمتها </w:t>
      </w:r>
      <w:proofErr w:type="spellStart"/>
      <w:r w:rsidRPr="0072520F">
        <w:rPr>
          <w:rFonts w:ascii="Simplified Arabic" w:hAnsi="Simplified Arabic" w:cs="Simplified Arabic"/>
          <w:sz w:val="28"/>
          <w:szCs w:val="28"/>
          <w:rtl/>
        </w:rPr>
        <w:t>بناءًا</w:t>
      </w:r>
      <w:proofErr w:type="spellEnd"/>
      <w:r w:rsidRPr="0072520F">
        <w:rPr>
          <w:rFonts w:ascii="Simplified Arabic" w:hAnsi="Simplified Arabic" w:cs="Simplified Arabic"/>
          <w:sz w:val="28"/>
          <w:szCs w:val="28"/>
          <w:rtl/>
        </w:rPr>
        <w:t xml:space="preserve"> على قوانين الولايات المتحدة المعمول بها لمكافحة </w:t>
      </w:r>
      <w:proofErr w:type="spellStart"/>
      <w:r w:rsidRPr="0072520F">
        <w:rPr>
          <w:rFonts w:ascii="Simplified Arabic" w:hAnsi="Simplified Arabic" w:cs="Simplified Arabic"/>
          <w:sz w:val="28"/>
          <w:szCs w:val="28"/>
          <w:rtl/>
        </w:rPr>
        <w:t>الإحتكار</w:t>
      </w:r>
      <w:proofErr w:type="spellEnd"/>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footnoteReference w:id="16"/>
      </w:r>
      <w:r w:rsidRPr="0072520F">
        <w:rPr>
          <w:rFonts w:ascii="Simplified Arabic" w:hAnsi="Simplified Arabic" w:cs="Simplified Arabic"/>
          <w:sz w:val="28"/>
          <w:szCs w:val="28"/>
          <w:rtl/>
        </w:rPr>
        <w:t xml:space="preserve"> </w:t>
      </w:r>
    </w:p>
    <w:p w14:paraId="55EF720C" w14:textId="77777777" w:rsidR="0072520F" w:rsidRPr="0072520F" w:rsidRDefault="0072520F" w:rsidP="009E6599">
      <w:pPr>
        <w:widowControl/>
        <w:numPr>
          <w:ilvl w:val="0"/>
          <w:numId w:val="42"/>
        </w:numPr>
        <w:adjustRightInd/>
        <w:spacing w:line="240" w:lineRule="auto"/>
        <w:ind w:left="390"/>
        <w:contextualSpacing/>
        <w:jc w:val="left"/>
        <w:textAlignment w:val="auto"/>
        <w:rPr>
          <w:rFonts w:ascii="Simplified Arabic" w:hAnsi="Simplified Arabic" w:cs="Simplified Arabic"/>
          <w:b/>
          <w:bCs/>
          <w:color w:val="000000"/>
          <w:sz w:val="28"/>
          <w:szCs w:val="28"/>
        </w:rPr>
      </w:pPr>
      <w:r w:rsidRPr="0072520F">
        <w:rPr>
          <w:rFonts w:ascii="Simplified Arabic" w:hAnsi="Simplified Arabic" w:cs="Simplified Arabic"/>
          <w:b/>
          <w:bCs/>
          <w:color w:val="000000"/>
          <w:sz w:val="28"/>
          <w:szCs w:val="28"/>
          <w:rtl/>
        </w:rPr>
        <w:t>منهجية الولايات المتحدة لمكافحة الاحتكار</w:t>
      </w:r>
    </w:p>
    <w:p w14:paraId="5DF72986" w14:textId="77777777" w:rsidR="0072520F" w:rsidRPr="0072520F" w:rsidRDefault="0072520F" w:rsidP="00B96506">
      <w:pPr>
        <w:widowControl/>
        <w:adjustRightInd/>
        <w:spacing w:line="223"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تم وضع أساس الإطار القانوني لمكافحة الاحتكار في الولايات المتحدة ضمن ثلاثة قوانين.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لعام </w:t>
      </w:r>
      <w:r w:rsidRPr="0072520F">
        <w:rPr>
          <w:rFonts w:ascii="Simplified Arabic" w:hAnsi="Simplified Arabic" w:cs="Simplified Arabic"/>
          <w:sz w:val="28"/>
          <w:szCs w:val="28"/>
        </w:rPr>
        <w:t>1890</w:t>
      </w:r>
      <w:r w:rsidRPr="0072520F">
        <w:rPr>
          <w:rFonts w:ascii="Simplified Arabic" w:hAnsi="Simplified Arabic" w:cs="Simplified Arabic"/>
          <w:sz w:val="28"/>
          <w:szCs w:val="28"/>
          <w:rtl/>
        </w:rPr>
        <w:t xml:space="preserve"> يتضمن الاتفاقيات المانعة للمنافسة (القسم الأول) والسلوك الاحتكاري أو محاولات القيام بهذا السلوك (القسم الثاني). حيث أن قانون </w:t>
      </w:r>
      <w:proofErr w:type="spellStart"/>
      <w:r w:rsidRPr="0072520F">
        <w:rPr>
          <w:rFonts w:ascii="Simplified Arabic" w:hAnsi="Simplified Arabic" w:cs="Simplified Arabic"/>
          <w:sz w:val="28"/>
          <w:szCs w:val="28"/>
          <w:rtl/>
        </w:rPr>
        <w:t>كلايتون</w:t>
      </w:r>
      <w:proofErr w:type="spellEnd"/>
      <w:r w:rsidRPr="0072520F">
        <w:rPr>
          <w:rFonts w:ascii="Simplified Arabic" w:hAnsi="Simplified Arabic" w:cs="Simplified Arabic"/>
          <w:sz w:val="28"/>
          <w:szCs w:val="28"/>
          <w:rtl/>
        </w:rPr>
        <w:t xml:space="preserve"> لعام </w:t>
      </w:r>
      <w:r w:rsidRPr="0072520F">
        <w:rPr>
          <w:rFonts w:ascii="Simplified Arabic" w:hAnsi="Simplified Arabic" w:cs="Simplified Arabic"/>
          <w:sz w:val="28"/>
          <w:szCs w:val="28"/>
        </w:rPr>
        <w:t>1914</w:t>
      </w:r>
      <w:r w:rsidRPr="0072520F">
        <w:rPr>
          <w:rFonts w:ascii="Simplified Arabic" w:hAnsi="Simplified Arabic" w:cs="Simplified Arabic"/>
          <w:sz w:val="28"/>
          <w:szCs w:val="28"/>
          <w:rtl/>
        </w:rPr>
        <w:t xml:space="preserve"> يوسع مدى إطار مكافحة الاحتكار من خلال معالجة ممارسات الإضافية للاندماج وما قبل الدمج للشركات والمؤسسات. وأخيرًا, يركز قانون لجنة التجارة الفيدرالية لعام </w:t>
      </w:r>
      <w:r w:rsidRPr="0072520F">
        <w:rPr>
          <w:rFonts w:ascii="Simplified Arabic" w:hAnsi="Simplified Arabic" w:cs="Simplified Arabic"/>
          <w:sz w:val="28"/>
          <w:szCs w:val="28"/>
        </w:rPr>
        <w:t>1914</w:t>
      </w:r>
      <w:r w:rsidRPr="0072520F">
        <w:rPr>
          <w:rFonts w:ascii="Simplified Arabic" w:hAnsi="Simplified Arabic" w:cs="Simplified Arabic"/>
          <w:sz w:val="28"/>
          <w:szCs w:val="28"/>
          <w:rtl/>
        </w:rPr>
        <w:t xml:space="preserve"> بشكل خاص على الممارسات التنافسية غير العادلة فيما يتعلق بالرياضات الاحترافية, فقد تم رفع قضايا من قبل الغالبية العظمى لمكافحة الاحتكار في الولايات المتحدة بموجب القسم الأول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حيث ثبت في قضية جمعية بوسطن لمحترفي رياضة الهوكي ضد </w:t>
      </w:r>
      <w:proofErr w:type="spellStart"/>
      <w:r w:rsidRPr="0072520F">
        <w:rPr>
          <w:rFonts w:ascii="Simplified Arabic" w:hAnsi="Simplified Arabic" w:cs="Simplified Arabic"/>
          <w:sz w:val="28"/>
          <w:szCs w:val="28"/>
          <w:rtl/>
        </w:rPr>
        <w:t>تشيفرز</w:t>
      </w:r>
      <w:proofErr w:type="spellEnd"/>
      <w:r w:rsidRPr="0072520F">
        <w:rPr>
          <w:rFonts w:ascii="Simplified Arabic" w:hAnsi="Simplified Arabic" w:cs="Simplified Arabic"/>
          <w:sz w:val="28"/>
          <w:szCs w:val="28"/>
          <w:rtl/>
        </w:rPr>
        <w:t>, أن "جميع الرياضات الاحترافية التي تقام بين الولايات سوف يتم محاكمتها في النهاية من قبل المحكمة العليا لتكون خاضعة لقوانين مكافحة الاحتكار الفيدرالية".</w:t>
      </w:r>
      <w:r w:rsidRPr="00B96506">
        <w:rPr>
          <w:rFonts w:ascii="Simplified Arabic" w:hAnsi="Simplified Arabic" w:cs="Simplified Arabic"/>
          <w:sz w:val="28"/>
          <w:szCs w:val="28"/>
          <w:vertAlign w:val="superscript"/>
          <w:rtl/>
        </w:rPr>
        <w:footnoteReference w:id="17"/>
      </w:r>
      <w:r w:rsidRPr="0072520F">
        <w:rPr>
          <w:rFonts w:ascii="Simplified Arabic" w:hAnsi="Simplified Arabic" w:cs="Simplified Arabic"/>
          <w:sz w:val="28"/>
          <w:szCs w:val="28"/>
          <w:rtl/>
        </w:rPr>
        <w:t xml:space="preserve"> غير أن القضايا السابقة قد أثبتت أن المنظمات التي تحتكر كرة </w:t>
      </w:r>
      <w:r w:rsidRPr="0072520F">
        <w:rPr>
          <w:rFonts w:ascii="Simplified Arabic" w:hAnsi="Simplified Arabic" w:cs="Simplified Arabic"/>
          <w:sz w:val="28"/>
          <w:szCs w:val="28"/>
          <w:rtl/>
        </w:rPr>
        <w:lastRenderedPageBreak/>
        <w:t>القدم الأمريكية للمحترفين(</w:t>
      </w:r>
      <w:proofErr w:type="spellStart"/>
      <w:r w:rsidRPr="0072520F">
        <w:rPr>
          <w:rFonts w:ascii="Simplified Arabic" w:hAnsi="Simplified Arabic" w:cs="Simplified Arabic"/>
          <w:sz w:val="28"/>
          <w:szCs w:val="28"/>
          <w:rtl/>
        </w:rPr>
        <w:t>رادوفيتش</w:t>
      </w:r>
      <w:proofErr w:type="spellEnd"/>
      <w:r w:rsidRPr="0072520F">
        <w:rPr>
          <w:rFonts w:ascii="Simplified Arabic" w:hAnsi="Simplified Arabic" w:cs="Simplified Arabic"/>
          <w:sz w:val="28"/>
          <w:szCs w:val="28"/>
          <w:rtl/>
        </w:rPr>
        <w:t xml:space="preserve"> ضد الرابطة الوطنية لكرة القدم) والهوكي(اتحاد بوسطن لمحترفي الهوكي </w:t>
      </w:r>
      <w:r w:rsidRPr="0072520F">
        <w:rPr>
          <w:rFonts w:ascii="Simplified Arabic" w:hAnsi="Simplified Arabic" w:cs="Simplified Arabic"/>
          <w:sz w:val="28"/>
          <w:szCs w:val="28"/>
        </w:rPr>
        <w:t>348</w:t>
      </w:r>
      <w:r w:rsidRPr="0072520F">
        <w:rPr>
          <w:rFonts w:ascii="Simplified Arabic" w:hAnsi="Simplified Arabic" w:cs="Simplified Arabic"/>
          <w:sz w:val="28"/>
          <w:szCs w:val="28"/>
          <w:rtl/>
        </w:rPr>
        <w:t xml:space="preserve">) وكرة السلة (شركة واشنطن لمحترفي كرة السلة ضد الرابطة الوطنية لكرة السلة) يقومون بإجراء أعمال تجارية بين الولايات, وبالتالي يخضع ذلك لقانون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بشكلٍ عام, من أجل إثبات انتهاك سياسات مكافحة الاحتكار بموجب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فقد يتعين على المدعي إثبات وجود إجراء (عمل منسق) تقوم به المنظمة المحتكرة يشكل من جديد شكل التجارة (أو المنافسة) بشكل غير عادل من خلال العقد أو التآمر على المنافسين أو أشكال أخرى تؤدي للإخلال بنزاهة المنافسة. وفي الجزء التالي سنقوم بمناقشة كل فرضية من هذه الثلاث فرضيات بشكل مستقل.</w:t>
      </w:r>
    </w:p>
    <w:p w14:paraId="31CABAF6" w14:textId="77777777" w:rsidR="0072520F" w:rsidRPr="0072520F" w:rsidRDefault="0072520F" w:rsidP="00B96506">
      <w:pPr>
        <w:widowControl/>
        <w:adjustRightInd/>
        <w:spacing w:line="240" w:lineRule="auto"/>
        <w:jc w:val="lowKashida"/>
        <w:textAlignment w:val="auto"/>
        <w:rPr>
          <w:rFonts w:ascii="Simplified Arabic" w:hAnsi="Simplified Arabic" w:cs="Simplified Arabic"/>
          <w:b/>
          <w:bCs/>
          <w:sz w:val="28"/>
          <w:szCs w:val="28"/>
        </w:rPr>
      </w:pPr>
      <w:r w:rsidRPr="0072520F">
        <w:rPr>
          <w:rFonts w:ascii="Simplified Arabic" w:hAnsi="Simplified Arabic" w:cs="Simplified Arabic"/>
          <w:b/>
          <w:bCs/>
          <w:sz w:val="28"/>
          <w:szCs w:val="28"/>
          <w:rtl/>
        </w:rPr>
        <w:t>3.1 الأعمال المنسقة والكيانات الرياضية</w:t>
      </w:r>
      <w:r w:rsidRPr="00B96506">
        <w:rPr>
          <w:rFonts w:ascii="Simplified Arabic" w:hAnsi="Simplified Arabic" w:cs="Simplified Arabic"/>
          <w:b/>
          <w:bCs/>
          <w:sz w:val="28"/>
          <w:szCs w:val="28"/>
          <w:vertAlign w:val="superscript"/>
          <w:rtl/>
        </w:rPr>
        <w:footnoteReference w:id="18"/>
      </w:r>
    </w:p>
    <w:p w14:paraId="49734935" w14:textId="56833C6E"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Pr>
      </w:pPr>
      <w:r w:rsidRPr="0072520F">
        <w:rPr>
          <w:rFonts w:ascii="Simplified Arabic" w:hAnsi="Simplified Arabic" w:cs="Simplified Arabic"/>
          <w:sz w:val="28"/>
          <w:szCs w:val="28"/>
          <w:rtl/>
        </w:rPr>
        <w:t xml:space="preserve">تم الأخذ بفكرة "العمل المنسق" كجزء من الأدلة القانونية التي تأخذ بها المحاكم بشكل دائم تجاه المنظمات الرياضية في الولايات المتحدة. والحُجة على ذلك أن "اتخاذًا رياضيًا محترفًا ما هو إلا كيان واحد من الجهات الفاعلة المترابطة , في حين أن "العمل المنسق" يتطلب فعلين </w:t>
      </w:r>
      <w:r w:rsidR="00B44413">
        <w:rPr>
          <w:rFonts w:ascii="Simplified Arabic" w:hAnsi="Simplified Arabic" w:cs="Simplified Arabic"/>
          <w:sz w:val="28"/>
          <w:szCs w:val="28"/>
          <w:rtl/>
          <w:lang w:bidi="ar-EG"/>
        </w:rPr>
        <w:br/>
      </w:r>
      <w:r w:rsidRPr="0072520F">
        <w:rPr>
          <w:rFonts w:ascii="Simplified Arabic" w:hAnsi="Simplified Arabic" w:cs="Simplified Arabic"/>
          <w:sz w:val="28"/>
          <w:szCs w:val="28"/>
          <w:rtl/>
        </w:rPr>
        <w:t>أو أكثر من الممثلين المستقلين.</w:t>
      </w:r>
      <w:r w:rsidRPr="00B96506">
        <w:rPr>
          <w:rFonts w:ascii="Simplified Arabic" w:hAnsi="Simplified Arabic" w:cs="Simplified Arabic"/>
          <w:sz w:val="28"/>
          <w:szCs w:val="28"/>
          <w:vertAlign w:val="superscript"/>
          <w:rtl/>
        </w:rPr>
        <w:footnoteReference w:id="19"/>
      </w:r>
      <w:r w:rsidRPr="0072520F">
        <w:rPr>
          <w:rFonts w:ascii="Simplified Arabic" w:hAnsi="Simplified Arabic" w:cs="Simplified Arabic"/>
          <w:sz w:val="28"/>
          <w:szCs w:val="28"/>
          <w:rtl/>
        </w:rPr>
        <w:t xml:space="preserve"> حيث أن أساس ذلك أُنشئ بواسطة قضية </w:t>
      </w:r>
      <w:r w:rsidRPr="0072520F">
        <w:rPr>
          <w:rFonts w:ascii="Simplified Arabic" w:hAnsi="Simplified Arabic" w:cs="Simplified Arabic"/>
          <w:sz w:val="28"/>
          <w:szCs w:val="28"/>
          <w:rtl/>
        </w:rPr>
        <w:lastRenderedPageBreak/>
        <w:t xml:space="preserve">شركة </w:t>
      </w:r>
      <w:proofErr w:type="spellStart"/>
      <w:r w:rsidRPr="0072520F">
        <w:rPr>
          <w:rFonts w:ascii="Simplified Arabic" w:hAnsi="Simplified Arabic" w:cs="Simplified Arabic"/>
          <w:sz w:val="28"/>
          <w:szCs w:val="28"/>
          <w:rtl/>
        </w:rPr>
        <w:t>كوبرويلد</w:t>
      </w:r>
      <w:proofErr w:type="spellEnd"/>
      <w:r w:rsidRPr="0072520F">
        <w:rPr>
          <w:rFonts w:ascii="Simplified Arabic" w:hAnsi="Simplified Arabic" w:cs="Simplified Arabic"/>
          <w:sz w:val="28"/>
          <w:szCs w:val="28"/>
          <w:rtl/>
        </w:rPr>
        <w:t xml:space="preserve"> ضد شركة </w:t>
      </w:r>
      <w:proofErr w:type="spellStart"/>
      <w:r w:rsidRPr="0072520F">
        <w:rPr>
          <w:rFonts w:ascii="Simplified Arabic" w:hAnsi="Simplified Arabic" w:cs="Simplified Arabic"/>
          <w:sz w:val="28"/>
          <w:szCs w:val="28"/>
          <w:rtl/>
        </w:rPr>
        <w:t>اندبندنس</w:t>
      </w:r>
      <w:proofErr w:type="spellEnd"/>
      <w:r w:rsidRPr="0072520F">
        <w:rPr>
          <w:rFonts w:ascii="Simplified Arabic" w:hAnsi="Simplified Arabic" w:cs="Simplified Arabic"/>
          <w:sz w:val="28"/>
          <w:szCs w:val="28"/>
          <w:rtl/>
        </w:rPr>
        <w:t xml:space="preserve"> </w:t>
      </w:r>
      <w:proofErr w:type="spellStart"/>
      <w:r w:rsidRPr="0072520F">
        <w:rPr>
          <w:rFonts w:ascii="Simplified Arabic" w:hAnsi="Simplified Arabic" w:cs="Simplified Arabic"/>
          <w:sz w:val="28"/>
          <w:szCs w:val="28"/>
          <w:rtl/>
        </w:rPr>
        <w:t>تيوب</w:t>
      </w:r>
      <w:proofErr w:type="spellEnd"/>
      <w:r w:rsidRPr="0072520F">
        <w:rPr>
          <w:rFonts w:ascii="Simplified Arabic" w:hAnsi="Simplified Arabic" w:cs="Simplified Arabic"/>
          <w:sz w:val="28"/>
          <w:szCs w:val="28"/>
          <w:rtl/>
        </w:rPr>
        <w:t xml:space="preserve">, و وجدت المحكمة أن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لا يمكن تطبيقه على الشركات الأم والشركات التابعة لها، بمعنى أنه يجب أن يكون هناك استقلالية. ومع ذلك, اعترفت المحاكم بقدرتها على تطبيق مخصص لشركة </w:t>
      </w:r>
      <w:proofErr w:type="spellStart"/>
      <w:r w:rsidRPr="0072520F">
        <w:rPr>
          <w:rFonts w:ascii="Simplified Arabic" w:hAnsi="Simplified Arabic" w:cs="Simplified Arabic"/>
          <w:sz w:val="28"/>
          <w:szCs w:val="28"/>
          <w:rtl/>
        </w:rPr>
        <w:t>كوبرويلد</w:t>
      </w:r>
      <w:proofErr w:type="spellEnd"/>
      <w:r w:rsidRPr="0072520F">
        <w:rPr>
          <w:rFonts w:ascii="Simplified Arabic" w:hAnsi="Simplified Arabic" w:cs="Simplified Arabic"/>
          <w:sz w:val="28"/>
          <w:szCs w:val="28"/>
          <w:rtl/>
        </w:rPr>
        <w:t xml:space="preserve"> للرياضات الاحترافية على سبيل </w:t>
      </w:r>
      <w:proofErr w:type="spellStart"/>
      <w:r w:rsidRPr="0072520F">
        <w:rPr>
          <w:rFonts w:ascii="Simplified Arabic" w:hAnsi="Simplified Arabic" w:cs="Simplified Arabic"/>
          <w:sz w:val="28"/>
          <w:szCs w:val="28"/>
          <w:rtl/>
        </w:rPr>
        <w:t>الإستثناء</w:t>
      </w:r>
      <w:proofErr w:type="spellEnd"/>
      <w:r w:rsidRPr="0072520F">
        <w:rPr>
          <w:rFonts w:ascii="Simplified Arabic" w:hAnsi="Simplified Arabic" w:cs="Simplified Arabic"/>
          <w:sz w:val="28"/>
          <w:szCs w:val="28"/>
          <w:rtl/>
        </w:rPr>
        <w:t xml:space="preserve"> لمنع المنافسة </w:t>
      </w:r>
      <w:proofErr w:type="spellStart"/>
      <w:r w:rsidRPr="0072520F">
        <w:rPr>
          <w:rFonts w:ascii="Simplified Arabic" w:hAnsi="Simplified Arabic" w:cs="Simplified Arabic"/>
          <w:sz w:val="28"/>
          <w:szCs w:val="28"/>
          <w:rtl/>
        </w:rPr>
        <w:t>الإحتكارية</w:t>
      </w:r>
      <w:proofErr w:type="spellEnd"/>
      <w:r w:rsidRPr="0072520F">
        <w:rPr>
          <w:rFonts w:ascii="Simplified Arabic" w:hAnsi="Simplified Arabic" w:cs="Simplified Arabic"/>
          <w:sz w:val="28"/>
          <w:szCs w:val="28"/>
          <w:rtl/>
        </w:rPr>
        <w:t xml:space="preserve">. وفي قضية أمريكان </w:t>
      </w:r>
      <w:proofErr w:type="spellStart"/>
      <w:r w:rsidRPr="0072520F">
        <w:rPr>
          <w:rFonts w:ascii="Simplified Arabic" w:hAnsi="Simplified Arabic" w:cs="Simplified Arabic"/>
          <w:sz w:val="28"/>
          <w:szCs w:val="28"/>
          <w:rtl/>
        </w:rPr>
        <w:t>نيدل</w:t>
      </w:r>
      <w:proofErr w:type="spellEnd"/>
      <w:r w:rsidRPr="0072520F">
        <w:rPr>
          <w:rFonts w:ascii="Simplified Arabic" w:hAnsi="Simplified Arabic" w:cs="Simplified Arabic"/>
          <w:sz w:val="28"/>
          <w:szCs w:val="28"/>
          <w:rtl/>
        </w:rPr>
        <w:t xml:space="preserve"> ضد الرابطة الوطنية لكرة القدم (</w:t>
      </w:r>
      <w:r w:rsidRPr="0072520F">
        <w:rPr>
          <w:rFonts w:ascii="Simplified Arabic" w:hAnsi="Simplified Arabic" w:cs="Simplified Arabic"/>
          <w:sz w:val="28"/>
          <w:szCs w:val="28"/>
        </w:rPr>
        <w:t>(NFL</w:t>
      </w:r>
      <w:r w:rsidRPr="0072520F">
        <w:rPr>
          <w:rFonts w:ascii="Simplified Arabic" w:hAnsi="Simplified Arabic" w:cs="Simplified Arabic"/>
          <w:sz w:val="28"/>
          <w:szCs w:val="28"/>
          <w:rtl/>
        </w:rPr>
        <w:t xml:space="preserve"> (</w:t>
      </w:r>
      <w:r w:rsidRPr="0072520F">
        <w:rPr>
          <w:rFonts w:ascii="Simplified Arabic" w:hAnsi="Simplified Arabic" w:cs="Simplified Arabic"/>
          <w:sz w:val="28"/>
          <w:szCs w:val="28"/>
        </w:rPr>
        <w:t>2010</w:t>
      </w:r>
      <w:r w:rsidRPr="0072520F">
        <w:rPr>
          <w:rFonts w:ascii="Simplified Arabic" w:hAnsi="Simplified Arabic" w:cs="Simplified Arabic"/>
          <w:sz w:val="28"/>
          <w:szCs w:val="28"/>
          <w:rtl/>
        </w:rPr>
        <w:t xml:space="preserve">), كان على المحكمة أن تقرر ما إذا كان قرار اتحاد كرة القدم الأمريكي بترخيص ملكيتها الفكرية لشركة ريبوك سيقع تحت قيود التجارة بموجب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مع الاعتراف بالامتيازات الخاصة للرياضات الاحترافية, والتي تتطلب بطبيعة الحال، من بين أمور أخرى، سلوكًا تعاونيًا للأندية. فقد ميزت المحكمة العليا هذا الشكل من التعاون عن الشكل الموصوف في </w:t>
      </w:r>
      <w:proofErr w:type="spellStart"/>
      <w:r w:rsidRPr="0072520F">
        <w:rPr>
          <w:rFonts w:ascii="Simplified Arabic" w:hAnsi="Simplified Arabic" w:cs="Simplified Arabic"/>
          <w:sz w:val="28"/>
          <w:szCs w:val="28"/>
          <w:rtl/>
        </w:rPr>
        <w:t>كوبرويلد</w:t>
      </w:r>
      <w:proofErr w:type="spellEnd"/>
      <w:r w:rsidRPr="0072520F">
        <w:rPr>
          <w:rFonts w:ascii="Simplified Arabic" w:hAnsi="Simplified Arabic" w:cs="Simplified Arabic"/>
          <w:sz w:val="28"/>
          <w:szCs w:val="28"/>
          <w:rtl/>
        </w:rPr>
        <w:t>, وعلى وجه التحديد, تم الاعتراف بأن الأندية المحترفة مملوكة بشكل مستقل وتتنافس ضد بعضها البعض في الرياضة من حيث حقوق الترخيص.</w:t>
      </w:r>
      <w:r w:rsidRPr="00B96506">
        <w:rPr>
          <w:rFonts w:ascii="Simplified Arabic" w:hAnsi="Simplified Arabic" w:cs="Simplified Arabic"/>
          <w:sz w:val="28"/>
          <w:szCs w:val="28"/>
          <w:vertAlign w:val="superscript"/>
          <w:rtl/>
        </w:rPr>
        <w:footnoteReference w:id="20"/>
      </w:r>
      <w:r w:rsidRPr="0072520F">
        <w:rPr>
          <w:rFonts w:ascii="Simplified Arabic" w:hAnsi="Simplified Arabic" w:cs="Simplified Arabic"/>
          <w:sz w:val="28"/>
          <w:szCs w:val="28"/>
          <w:rtl/>
        </w:rPr>
        <w:t xml:space="preserve"> وعلى هذا النحو كان ترخيص الملكية الفكرية مساويًا "للعمل المنسق" وبالتالي رفض التفسير الموسع من قبل </w:t>
      </w:r>
      <w:proofErr w:type="spellStart"/>
      <w:r w:rsidRPr="0072520F">
        <w:rPr>
          <w:rFonts w:ascii="Simplified Arabic" w:hAnsi="Simplified Arabic" w:cs="Simplified Arabic"/>
          <w:sz w:val="28"/>
          <w:szCs w:val="28"/>
          <w:rtl/>
        </w:rPr>
        <w:t>كوبرويلد</w:t>
      </w:r>
      <w:proofErr w:type="spellEnd"/>
      <w:r w:rsidRPr="0072520F">
        <w:rPr>
          <w:rFonts w:ascii="Simplified Arabic" w:hAnsi="Simplified Arabic" w:cs="Simplified Arabic"/>
          <w:sz w:val="28"/>
          <w:szCs w:val="28"/>
          <w:rtl/>
        </w:rPr>
        <w:t xml:space="preserve"> للرياضة ووضع إجراء سابق للنظر في حُجة الكيان الفردي للبطولات المهيمنة ذات القيود.                                                                                                               </w:t>
      </w:r>
    </w:p>
    <w:p w14:paraId="45B6C179" w14:textId="77777777" w:rsidR="00B96506" w:rsidRDefault="00B96506" w:rsidP="00B96506">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66CC47EC" w14:textId="214A9805" w:rsidR="0072520F" w:rsidRPr="0072520F" w:rsidRDefault="00B96506" w:rsidP="00B96506">
      <w:pPr>
        <w:widowControl/>
        <w:adjustRightInd/>
        <w:spacing w:line="240" w:lineRule="auto"/>
        <w:jc w:val="lowKashida"/>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lastRenderedPageBreak/>
        <w:t>3.2</w:t>
      </w:r>
      <w:r w:rsidR="0072520F" w:rsidRPr="0072520F">
        <w:rPr>
          <w:rFonts w:ascii="Simplified Arabic" w:hAnsi="Simplified Arabic" w:cs="Simplified Arabic"/>
          <w:b/>
          <w:bCs/>
          <w:sz w:val="28"/>
          <w:szCs w:val="28"/>
          <w:rtl/>
        </w:rPr>
        <w:t xml:space="preserve">التأثير على التجارة بين الولايات </w:t>
      </w:r>
      <w:r w:rsidR="0072520F" w:rsidRPr="0072520F">
        <w:rPr>
          <w:rFonts w:ascii="Simplified Arabic" w:hAnsi="Simplified Arabic" w:cs="Simplified Arabic"/>
          <w:b/>
          <w:bCs/>
          <w:sz w:val="28"/>
          <w:szCs w:val="28"/>
        </w:rPr>
        <w:t xml:space="preserve"> </w:t>
      </w:r>
    </w:p>
    <w:p w14:paraId="45F0287D" w14:textId="3B7AF9D2" w:rsidR="0072520F" w:rsidRPr="0072520F" w:rsidRDefault="0072520F" w:rsidP="00B96506">
      <w:pPr>
        <w:widowControl/>
        <w:adjustRightInd/>
        <w:spacing w:line="223"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هناك خط دفاع آخر للتنظيم الرياضي في الولايات المتحدة ينكر التأثير على التجارة الداخلية بين الولايات أو التجارة الخارجية.  ينبع هذا من قضية نادي البيسبول الفيدرالي ضد الرابطة الوطنية (</w:t>
      </w:r>
      <w:r w:rsidRPr="0072520F">
        <w:rPr>
          <w:rFonts w:ascii="Simplified Arabic" w:hAnsi="Simplified Arabic" w:cs="Simplified Arabic"/>
          <w:sz w:val="28"/>
          <w:szCs w:val="28"/>
        </w:rPr>
        <w:t>1922</w:t>
      </w:r>
      <w:r w:rsidRPr="0072520F">
        <w:rPr>
          <w:rFonts w:ascii="Simplified Arabic" w:hAnsi="Simplified Arabic" w:cs="Simplified Arabic"/>
          <w:sz w:val="28"/>
          <w:szCs w:val="28"/>
          <w:rtl/>
        </w:rPr>
        <w:t>) ، حيث استبعدت المحكمة العليا لعبة البيسبول الاحترافية من قانون مكافحة الاحتكار بحجة أن فرق البيسبول التي تسافر من ولاية إلى ولاية لم تكن ذات أهمية بطبيعتها ، وبالتالي لم تشكل تجارة بين الولايات. ومن المثير للاهتمام هو اعتراف المحكمة في قضية فلود ضد كون (</w:t>
      </w:r>
      <w:r w:rsidRPr="0072520F">
        <w:rPr>
          <w:rFonts w:ascii="Simplified Arabic" w:hAnsi="Simplified Arabic" w:cs="Simplified Arabic"/>
          <w:sz w:val="28"/>
          <w:szCs w:val="28"/>
        </w:rPr>
        <w:t>1972</w:t>
      </w:r>
      <w:r w:rsidRPr="0072520F">
        <w:rPr>
          <w:rFonts w:ascii="Simplified Arabic" w:hAnsi="Simplified Arabic" w:cs="Simplified Arabic"/>
          <w:sz w:val="28"/>
          <w:szCs w:val="28"/>
          <w:rtl/>
        </w:rPr>
        <w:t>)  لاحقا بأن مثل هذا التفسير كان "</w:t>
      </w:r>
      <w:proofErr w:type="spellStart"/>
      <w:r w:rsidRPr="0072520F">
        <w:rPr>
          <w:rFonts w:ascii="Simplified Arabic" w:hAnsi="Simplified Arabic" w:cs="Simplified Arabic"/>
          <w:sz w:val="28"/>
          <w:szCs w:val="28"/>
          <w:rtl/>
        </w:rPr>
        <w:t>استثناءا</w:t>
      </w:r>
      <w:proofErr w:type="spellEnd"/>
      <w:r w:rsidRPr="0072520F">
        <w:rPr>
          <w:rFonts w:ascii="Simplified Arabic" w:hAnsi="Simplified Arabic" w:cs="Simplified Arabic"/>
          <w:sz w:val="28"/>
          <w:szCs w:val="28"/>
          <w:rtl/>
        </w:rPr>
        <w:t xml:space="preserve"> وشذوذا"  إلا أنه لم يتم إلغاؤه. ومع ذلك، فسرت المحاكم مؤخرا التجارة بين الولايات على نطاق واسع، لاسيما عندما يربح الكيان المعني ربحا اقتصاديا، كما هو الحال مع غالبية الاتحادات الرياضية في الولايات المتحدة .</w:t>
      </w:r>
      <w:r w:rsidRPr="00B96506">
        <w:rPr>
          <w:rFonts w:ascii="Simplified Arabic" w:hAnsi="Simplified Arabic" w:cs="Simplified Arabic"/>
          <w:sz w:val="28"/>
          <w:szCs w:val="28"/>
          <w:vertAlign w:val="superscript"/>
          <w:rtl/>
        </w:rPr>
        <w:footnoteReference w:id="21"/>
      </w:r>
      <w:r w:rsidRPr="0072520F">
        <w:rPr>
          <w:rFonts w:ascii="Simplified Arabic" w:hAnsi="Simplified Arabic" w:cs="Simplified Arabic"/>
          <w:sz w:val="28"/>
          <w:szCs w:val="28"/>
          <w:rtl/>
        </w:rPr>
        <w:t xml:space="preserve"> ومع ذلك </w:t>
      </w:r>
      <w:proofErr w:type="spellStart"/>
      <w:r w:rsidRPr="0072520F">
        <w:rPr>
          <w:rFonts w:ascii="Simplified Arabic" w:hAnsi="Simplified Arabic" w:cs="Simplified Arabic"/>
          <w:sz w:val="28"/>
          <w:szCs w:val="28"/>
          <w:rtl/>
        </w:rPr>
        <w:t>استمرالجدل</w:t>
      </w:r>
      <w:proofErr w:type="spellEnd"/>
      <w:r w:rsidRPr="0072520F">
        <w:rPr>
          <w:rFonts w:ascii="Simplified Arabic" w:hAnsi="Simplified Arabic" w:cs="Simplified Arabic"/>
          <w:sz w:val="28"/>
          <w:szCs w:val="28"/>
          <w:rtl/>
        </w:rPr>
        <w:t xml:space="preserve"> فيما يتعلق بالاتحادات غير الربحية.  مما يتعين على المحاكم في هذه القضية أن تتعامل مع ما يتكون من قيود تجارية وغير تجارية. ومثالا على ذلك، أقرّت المحاكم في العديد من قضايا الرابطة الوطنية للرياضة الجامعية (</w:t>
      </w:r>
      <w:r w:rsidRPr="0072520F">
        <w:rPr>
          <w:rFonts w:ascii="Simplified Arabic" w:hAnsi="Simplified Arabic" w:cs="Simplified Arabic"/>
          <w:sz w:val="28"/>
          <w:szCs w:val="28"/>
        </w:rPr>
        <w:t>NCAA</w:t>
      </w:r>
      <w:r w:rsidRPr="0072520F">
        <w:rPr>
          <w:rFonts w:ascii="Simplified Arabic" w:hAnsi="Simplified Arabic" w:cs="Simplified Arabic"/>
          <w:sz w:val="28"/>
          <w:szCs w:val="28"/>
          <w:rtl/>
        </w:rPr>
        <w:t xml:space="preserve">) بأن متطلبات الأهلية الخاصة بها غير تجارية بطبيعتها بينما في الآونة الأخيرة ظهر اتجاه آخر في قضايا مثل: او </w:t>
      </w:r>
      <w:proofErr w:type="spellStart"/>
      <w:r w:rsidRPr="0072520F">
        <w:rPr>
          <w:rFonts w:ascii="Simplified Arabic" w:hAnsi="Simplified Arabic" w:cs="Simplified Arabic"/>
          <w:sz w:val="28"/>
          <w:szCs w:val="28"/>
          <w:rtl/>
        </w:rPr>
        <w:t>بانون</w:t>
      </w:r>
      <w:proofErr w:type="spellEnd"/>
      <w:r w:rsidRPr="0072520F">
        <w:rPr>
          <w:rFonts w:ascii="Simplified Arabic" w:hAnsi="Simplified Arabic" w:cs="Simplified Arabic"/>
          <w:sz w:val="28"/>
          <w:szCs w:val="28"/>
          <w:rtl/>
        </w:rPr>
        <w:t xml:space="preserve"> ضد الرابطة الوطنية لألعاب القوى (</w:t>
      </w:r>
      <w:r w:rsidRPr="0072520F">
        <w:rPr>
          <w:rFonts w:ascii="Simplified Arabic" w:hAnsi="Simplified Arabic" w:cs="Simplified Arabic"/>
          <w:sz w:val="28"/>
          <w:szCs w:val="28"/>
        </w:rPr>
        <w:t>2015</w:t>
      </w:r>
      <w:r w:rsidRPr="0072520F">
        <w:rPr>
          <w:rFonts w:ascii="Simplified Arabic" w:hAnsi="Simplified Arabic" w:cs="Simplified Arabic"/>
          <w:sz w:val="28"/>
          <w:szCs w:val="28"/>
          <w:rtl/>
        </w:rPr>
        <w:t>) ورفضت المحكمة في القضية دعوى أن استخدام صور وأسماء اللاعبين يتضمن نشاطًا تجاريًا.</w:t>
      </w:r>
      <w:r w:rsidRPr="00B96506">
        <w:rPr>
          <w:rFonts w:ascii="Simplified Arabic" w:hAnsi="Simplified Arabic" w:cs="Simplified Arabic"/>
          <w:sz w:val="28"/>
          <w:szCs w:val="28"/>
          <w:vertAlign w:val="superscript"/>
          <w:rtl/>
        </w:rPr>
        <w:footnoteReference w:id="22"/>
      </w:r>
      <w:r w:rsidRPr="0072520F">
        <w:rPr>
          <w:rFonts w:ascii="Simplified Arabic" w:hAnsi="Simplified Arabic" w:cs="Simplified Arabic"/>
          <w:sz w:val="28"/>
          <w:szCs w:val="28"/>
          <w:rtl/>
        </w:rPr>
        <w:t xml:space="preserve">   </w:t>
      </w:r>
    </w:p>
    <w:p w14:paraId="294E11A3" w14:textId="77CEC028" w:rsidR="0072520F" w:rsidRPr="0072520F" w:rsidRDefault="0072520F" w:rsidP="00B96506">
      <w:pPr>
        <w:widowControl/>
        <w:adjustRightInd/>
        <w:spacing w:line="240" w:lineRule="auto"/>
        <w:jc w:val="lowKashida"/>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lastRenderedPageBreak/>
        <w:t>3.3 فرض قيود غير معقولة على التجارة</w:t>
      </w:r>
    </w:p>
    <w:p w14:paraId="330765F8" w14:textId="373CCB07"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علاوة على ذلك، يحظر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القيود "غير المعقولة" على التجارة.  نظرًا لعدم وجود تفاصيل محددة حول ما يعنيه غير المعقول في هذا السياق، فقد كان الأمر متروكًا للمحاكم لرسم الخطوط.  تاريخيا، ظهر اختباران </w:t>
      </w:r>
      <w:proofErr w:type="spellStart"/>
      <w:r w:rsidRPr="0072520F">
        <w:rPr>
          <w:rFonts w:ascii="Simplified Arabic" w:hAnsi="Simplified Arabic" w:cs="Simplified Arabic"/>
          <w:sz w:val="28"/>
          <w:szCs w:val="28"/>
          <w:rtl/>
        </w:rPr>
        <w:t>قانونيان.الأول</w:t>
      </w:r>
      <w:proofErr w:type="spellEnd"/>
      <w:r w:rsidRPr="0072520F">
        <w:rPr>
          <w:rFonts w:ascii="Simplified Arabic" w:hAnsi="Simplified Arabic" w:cs="Simplified Arabic"/>
          <w:sz w:val="28"/>
          <w:szCs w:val="28"/>
          <w:rtl/>
        </w:rPr>
        <w:t xml:space="preserve">: بأن يشير الانتهاك بحد ذاته إلى الممارسات الصارخة المانعة للمنافسة التي لا تتطلب تحقيقًا جادًا في أسبابها </w:t>
      </w:r>
      <w:r w:rsidR="00B96506">
        <w:rPr>
          <w:rFonts w:ascii="Simplified Arabic" w:hAnsi="Simplified Arabic" w:cs="Simplified Arabic" w:hint="cs"/>
          <w:sz w:val="28"/>
          <w:szCs w:val="28"/>
          <w:rtl/>
        </w:rPr>
        <w:br/>
      </w:r>
      <w:r w:rsidRPr="0072520F">
        <w:rPr>
          <w:rFonts w:ascii="Simplified Arabic" w:hAnsi="Simplified Arabic" w:cs="Simplified Arabic"/>
          <w:sz w:val="28"/>
          <w:szCs w:val="28"/>
          <w:rtl/>
        </w:rPr>
        <w:t xml:space="preserve">أو عواقبها، أي أن </w:t>
      </w:r>
      <w:proofErr w:type="spellStart"/>
      <w:r w:rsidRPr="0072520F">
        <w:rPr>
          <w:rFonts w:ascii="Simplified Arabic" w:hAnsi="Simplified Arabic" w:cs="Simplified Arabic"/>
          <w:sz w:val="28"/>
          <w:szCs w:val="28"/>
          <w:rtl/>
        </w:rPr>
        <w:t>الإجراءا</w:t>
      </w:r>
      <w:proofErr w:type="spellEnd"/>
      <w:r w:rsidRPr="0072520F">
        <w:rPr>
          <w:rFonts w:ascii="Simplified Arabic" w:hAnsi="Simplified Arabic" w:cs="Simplified Arabic"/>
          <w:sz w:val="28"/>
          <w:szCs w:val="28"/>
          <w:rtl/>
        </w:rPr>
        <w:t xml:space="preserve"> غير المعقولة من قبل المحتكر هي من تفرض على المحكمة هذا الإجراء.  ومن الأمثلة، بناءً على قرارات المحكمة العليا، تثبيت الأسعار، والرفض المنسق للتعامل مع أطراف ثالثة خارج </w:t>
      </w:r>
      <w:proofErr w:type="spellStart"/>
      <w:r w:rsidRPr="0072520F">
        <w:rPr>
          <w:rFonts w:ascii="Simplified Arabic" w:hAnsi="Simplified Arabic" w:cs="Simplified Arabic"/>
          <w:sz w:val="28"/>
          <w:szCs w:val="28"/>
          <w:rtl/>
        </w:rPr>
        <w:t>الإحتكار</w:t>
      </w:r>
      <w:proofErr w:type="spellEnd"/>
      <w:r w:rsidRPr="0072520F">
        <w:rPr>
          <w:rFonts w:ascii="Simplified Arabic" w:hAnsi="Simplified Arabic" w:cs="Simplified Arabic"/>
          <w:sz w:val="28"/>
          <w:szCs w:val="28"/>
          <w:rtl/>
        </w:rPr>
        <w:t>، والتنسيق لتخصيص العملاء والأسواق للمحتكرين، والتخلي عن العطاءات من غير المحتكرين.</w:t>
      </w:r>
      <w:r w:rsidRPr="00B96506">
        <w:rPr>
          <w:rFonts w:ascii="Simplified Arabic" w:hAnsi="Simplified Arabic" w:cs="Simplified Arabic"/>
          <w:sz w:val="28"/>
          <w:szCs w:val="28"/>
          <w:vertAlign w:val="superscript"/>
          <w:rtl/>
        </w:rPr>
        <w:footnoteReference w:id="23"/>
      </w:r>
      <w:r w:rsidRPr="0072520F">
        <w:rPr>
          <w:rFonts w:ascii="Simplified Arabic" w:hAnsi="Simplified Arabic" w:cs="Simplified Arabic"/>
          <w:sz w:val="28"/>
          <w:szCs w:val="28"/>
          <w:rtl/>
        </w:rPr>
        <w:t xml:space="preserve">  ومع ذلك، نادرًا ما تنجح هذه الانتهاكات الواضحة في القضايا الرياضية.  ففي قضية أمريكان </w:t>
      </w:r>
      <w:proofErr w:type="spellStart"/>
      <w:r w:rsidRPr="0072520F">
        <w:rPr>
          <w:rFonts w:ascii="Simplified Arabic" w:hAnsi="Simplified Arabic" w:cs="Simplified Arabic"/>
          <w:sz w:val="28"/>
          <w:szCs w:val="28"/>
          <w:rtl/>
        </w:rPr>
        <w:t>نيدل</w:t>
      </w:r>
      <w:proofErr w:type="spellEnd"/>
      <w:r w:rsidRPr="0072520F">
        <w:rPr>
          <w:rFonts w:ascii="Simplified Arabic" w:hAnsi="Simplified Arabic" w:cs="Simplified Arabic"/>
          <w:sz w:val="28"/>
          <w:szCs w:val="28"/>
          <w:rtl/>
        </w:rPr>
        <w:t xml:space="preserve"> ، قضت المحكمة بأن القاعدة في حد ذاتها ستكون غير قابلة للتطبيق إذا كان هناك دليل على أن بعض القيود ضرورية "إذا كان المنتج متاحًا على الإطلاق" .  نظرًا لأن هذه هي حالة صناعة الرياضة الاحترافية بأكملها، فمن غير المرجح أن يتم عرض ممارسات معينة ضمن القاعدة في حد ذاتها. </w:t>
      </w:r>
      <w:r w:rsidRPr="00B96506">
        <w:rPr>
          <w:rFonts w:ascii="Simplified Arabic" w:hAnsi="Simplified Arabic" w:cs="Simplified Arabic"/>
          <w:sz w:val="28"/>
          <w:szCs w:val="28"/>
          <w:vertAlign w:val="superscript"/>
          <w:rtl/>
        </w:rPr>
        <w:footnoteReference w:id="24"/>
      </w:r>
      <w:r w:rsidRPr="0072520F">
        <w:rPr>
          <w:rFonts w:ascii="Simplified Arabic" w:hAnsi="Simplified Arabic" w:cs="Simplified Arabic"/>
          <w:sz w:val="28"/>
          <w:szCs w:val="28"/>
          <w:rtl/>
        </w:rPr>
        <w:t xml:space="preserve"> </w:t>
      </w:r>
    </w:p>
    <w:p w14:paraId="3DDFA712" w14:textId="78B28C7F"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ثانيا: قاعدة تحكيم المنطق وهي </w:t>
      </w:r>
      <w:proofErr w:type="spellStart"/>
      <w:r w:rsidRPr="0072520F">
        <w:rPr>
          <w:rFonts w:ascii="Simplified Arabic" w:hAnsi="Simplified Arabic" w:cs="Simplified Arabic"/>
          <w:sz w:val="28"/>
          <w:szCs w:val="28"/>
          <w:rtl/>
        </w:rPr>
        <w:t>أكثرمرونة</w:t>
      </w:r>
      <w:proofErr w:type="spellEnd"/>
      <w:r w:rsidRPr="0072520F">
        <w:rPr>
          <w:rFonts w:ascii="Simplified Arabic" w:hAnsi="Simplified Arabic" w:cs="Simplified Arabic"/>
          <w:sz w:val="28"/>
          <w:szCs w:val="28"/>
          <w:rtl/>
        </w:rPr>
        <w:t xml:space="preserve"> وأقل يقينًا من القاعدة السابقة.  </w:t>
      </w:r>
      <w:r w:rsidR="00B96506">
        <w:rPr>
          <w:rFonts w:ascii="Simplified Arabic" w:hAnsi="Simplified Arabic" w:cs="Simplified Arabic"/>
          <w:sz w:val="28"/>
          <w:szCs w:val="28"/>
          <w:rtl/>
        </w:rPr>
        <w:t>و</w:t>
      </w:r>
      <w:r w:rsidRPr="0072520F">
        <w:rPr>
          <w:rFonts w:ascii="Simplified Arabic" w:hAnsi="Simplified Arabic" w:cs="Simplified Arabic"/>
          <w:sz w:val="28"/>
          <w:szCs w:val="28"/>
          <w:rtl/>
        </w:rPr>
        <w:t xml:space="preserve">وصفها القاضي </w:t>
      </w:r>
      <w:proofErr w:type="spellStart"/>
      <w:r w:rsidRPr="0072520F">
        <w:rPr>
          <w:rFonts w:ascii="Simplified Arabic" w:hAnsi="Simplified Arabic" w:cs="Simplified Arabic"/>
          <w:sz w:val="28"/>
          <w:szCs w:val="28"/>
          <w:rtl/>
        </w:rPr>
        <w:t>برانديز</w:t>
      </w:r>
      <w:proofErr w:type="spellEnd"/>
      <w:r w:rsidRPr="0072520F">
        <w:rPr>
          <w:rFonts w:ascii="Simplified Arabic" w:hAnsi="Simplified Arabic" w:cs="Simplified Arabic"/>
          <w:sz w:val="28"/>
          <w:szCs w:val="28"/>
          <w:rtl/>
        </w:rPr>
        <w:t xml:space="preserve"> بأنها اختبار "ما إذا كان التقييد </w:t>
      </w:r>
      <w:r w:rsidRPr="0072520F">
        <w:rPr>
          <w:rFonts w:ascii="Simplified Arabic" w:hAnsi="Simplified Arabic" w:cs="Simplified Arabic"/>
          <w:sz w:val="28"/>
          <w:szCs w:val="28"/>
          <w:rtl/>
        </w:rPr>
        <w:lastRenderedPageBreak/>
        <w:t>المفروض كمجرد تنظيم، وبالتالي ربما يشجع المنافسة، أو ما إذا كان يمكن أن يقمع أو حتى يدمر المنافسة".</w:t>
      </w:r>
      <w:r w:rsidRPr="00B96506">
        <w:rPr>
          <w:rFonts w:ascii="Simplified Arabic" w:hAnsi="Simplified Arabic" w:cs="Simplified Arabic"/>
          <w:sz w:val="28"/>
          <w:szCs w:val="28"/>
          <w:vertAlign w:val="superscript"/>
          <w:rtl/>
        </w:rPr>
        <w:footnoteReference w:id="25"/>
      </w:r>
      <w:r w:rsidRPr="0072520F">
        <w:rPr>
          <w:rFonts w:ascii="Simplified Arabic" w:hAnsi="Simplified Arabic" w:cs="Simplified Arabic"/>
          <w:sz w:val="28"/>
          <w:szCs w:val="28"/>
          <w:rtl/>
        </w:rPr>
        <w:t xml:space="preserve"> كما أوصى </w:t>
      </w:r>
      <w:proofErr w:type="spellStart"/>
      <w:r w:rsidRPr="0072520F">
        <w:rPr>
          <w:rFonts w:ascii="Simplified Arabic" w:hAnsi="Simplified Arabic" w:cs="Simplified Arabic"/>
          <w:sz w:val="28"/>
          <w:szCs w:val="28"/>
          <w:rtl/>
        </w:rPr>
        <w:t>برانديز</w:t>
      </w:r>
      <w:proofErr w:type="spellEnd"/>
      <w:r w:rsidRPr="0072520F">
        <w:rPr>
          <w:rFonts w:ascii="Simplified Arabic" w:hAnsi="Simplified Arabic" w:cs="Simplified Arabic"/>
          <w:sz w:val="28"/>
          <w:szCs w:val="28"/>
          <w:rtl/>
        </w:rPr>
        <w:t xml:space="preserve"> أيضًا بتحليل القيود من حيث الغرض والحقائق والشروط والتاريخ.  ومع ذلك، في قرارات لاحقة، قامت المحاكم بتضييق نطاق قاعدة تحكيم المنطق لتعزيز أو قمع المنافسة فقط.</w:t>
      </w:r>
      <w:r w:rsidRPr="00B96506">
        <w:rPr>
          <w:rFonts w:ascii="Simplified Arabic" w:hAnsi="Simplified Arabic" w:cs="Simplified Arabic"/>
          <w:sz w:val="28"/>
          <w:szCs w:val="28"/>
          <w:vertAlign w:val="superscript"/>
          <w:rtl/>
        </w:rPr>
        <w:footnoteReference w:id="26"/>
      </w:r>
      <w:r w:rsidRPr="0072520F">
        <w:rPr>
          <w:rFonts w:ascii="Simplified Arabic" w:hAnsi="Simplified Arabic" w:cs="Simplified Arabic"/>
          <w:sz w:val="28"/>
          <w:szCs w:val="28"/>
          <w:rtl/>
        </w:rPr>
        <w:t xml:space="preserve"> وهنا يقع عبء الإثبات على المدعي الذي عليه أن يثبت بالتسلسل:</w:t>
      </w:r>
    </w:p>
    <w:p w14:paraId="48193E6C" w14:textId="540AD2B3" w:rsidR="0072520F" w:rsidRPr="0072520F" w:rsidRDefault="00B96506" w:rsidP="00B96506">
      <w:pPr>
        <w:widowControl/>
        <w:adjustRightInd/>
        <w:spacing w:line="240" w:lineRule="auto"/>
        <w:ind w:left="292" w:hanging="292"/>
        <w:jc w:val="left"/>
        <w:textAlignment w:val="auto"/>
        <w:rPr>
          <w:rFonts w:ascii="Simplified Arabic" w:hAnsi="Simplified Arabic" w:cs="Simplified Arabic"/>
          <w:sz w:val="28"/>
          <w:szCs w:val="28"/>
          <w:rtl/>
        </w:rPr>
      </w:pPr>
      <w:r>
        <w:rPr>
          <w:rFonts w:ascii="Simplified Arabic" w:hAnsi="Simplified Arabic" w:cs="Simplified Arabic" w:hint="cs"/>
          <w:sz w:val="28"/>
          <w:szCs w:val="28"/>
          <w:rtl/>
        </w:rPr>
        <w:t>1</w:t>
      </w:r>
      <w:r w:rsidR="0072520F" w:rsidRPr="0072520F">
        <w:rPr>
          <w:rFonts w:ascii="Simplified Arabic" w:hAnsi="Simplified Arabic" w:cs="Simplified Arabic"/>
          <w:sz w:val="28"/>
          <w:szCs w:val="28"/>
          <w:rtl/>
        </w:rPr>
        <w:t>) يجب على المدعي إثبات أن هناك ضررًا جوهريًا للمنافسة بشكل عام.</w:t>
      </w:r>
    </w:p>
    <w:p w14:paraId="0B7C89C2" w14:textId="3E420F71" w:rsidR="0072520F" w:rsidRPr="0072520F" w:rsidRDefault="00B96506" w:rsidP="00B96506">
      <w:pPr>
        <w:widowControl/>
        <w:adjustRightInd/>
        <w:spacing w:line="240" w:lineRule="auto"/>
        <w:ind w:left="292" w:hanging="292"/>
        <w:jc w:val="left"/>
        <w:textAlignment w:val="auto"/>
        <w:rPr>
          <w:rFonts w:ascii="Simplified Arabic" w:hAnsi="Simplified Arabic" w:cs="Simplified Arabic"/>
          <w:sz w:val="28"/>
          <w:szCs w:val="28"/>
          <w:rtl/>
        </w:rPr>
      </w:pPr>
      <w:r>
        <w:rPr>
          <w:rFonts w:ascii="Simplified Arabic" w:hAnsi="Simplified Arabic" w:cs="Simplified Arabic" w:hint="cs"/>
          <w:sz w:val="28"/>
          <w:szCs w:val="28"/>
          <w:rtl/>
        </w:rPr>
        <w:t>2</w:t>
      </w:r>
      <w:r w:rsidR="0072520F" w:rsidRPr="0072520F">
        <w:rPr>
          <w:rFonts w:ascii="Simplified Arabic" w:hAnsi="Simplified Arabic" w:cs="Simplified Arabic"/>
          <w:sz w:val="28"/>
          <w:szCs w:val="28"/>
          <w:rtl/>
        </w:rPr>
        <w:t>) يجب على المدعى عليه إثبات أن التقييد هو في الواقع مؤيد للمنافسة بطبيعته.</w:t>
      </w:r>
    </w:p>
    <w:p w14:paraId="43BD86C2" w14:textId="075749E8" w:rsidR="0072520F" w:rsidRPr="0072520F" w:rsidRDefault="00B96506" w:rsidP="00B96506">
      <w:pPr>
        <w:widowControl/>
        <w:adjustRightInd/>
        <w:spacing w:line="240" w:lineRule="auto"/>
        <w:ind w:left="292" w:hanging="292"/>
        <w:jc w:val="left"/>
        <w:textAlignment w:val="auto"/>
        <w:rPr>
          <w:rFonts w:ascii="Simplified Arabic" w:hAnsi="Simplified Arabic" w:cs="Simplified Arabic"/>
          <w:sz w:val="28"/>
          <w:szCs w:val="28"/>
          <w:rtl/>
        </w:rPr>
      </w:pPr>
      <w:r>
        <w:rPr>
          <w:rFonts w:ascii="Simplified Arabic" w:hAnsi="Simplified Arabic" w:cs="Simplified Arabic" w:hint="cs"/>
          <w:sz w:val="28"/>
          <w:szCs w:val="28"/>
          <w:rtl/>
        </w:rPr>
        <w:t>3</w:t>
      </w:r>
      <w:r w:rsidR="0072520F" w:rsidRPr="0072520F">
        <w:rPr>
          <w:rFonts w:ascii="Simplified Arabic" w:hAnsi="Simplified Arabic" w:cs="Simplified Arabic"/>
          <w:sz w:val="28"/>
          <w:szCs w:val="28"/>
          <w:rtl/>
        </w:rPr>
        <w:t>) يجب على المدعي إثبات أنه يمكن تحقيق التأثير المؤيد للمنافسة دون القيود المعنية.</w:t>
      </w:r>
    </w:p>
    <w:p w14:paraId="58E78B8E" w14:textId="3ABAF351" w:rsidR="0072520F" w:rsidRPr="0072520F" w:rsidRDefault="00B96506" w:rsidP="00B96506">
      <w:pPr>
        <w:widowControl/>
        <w:adjustRightInd/>
        <w:spacing w:line="240" w:lineRule="auto"/>
        <w:ind w:left="292" w:hanging="292"/>
        <w:jc w:val="left"/>
        <w:textAlignment w:val="auto"/>
        <w:rPr>
          <w:rFonts w:ascii="Simplified Arabic" w:hAnsi="Simplified Arabic" w:cs="Simplified Arabic"/>
          <w:sz w:val="28"/>
          <w:szCs w:val="28"/>
          <w:rtl/>
        </w:rPr>
      </w:pPr>
      <w:r>
        <w:rPr>
          <w:rFonts w:ascii="Simplified Arabic" w:hAnsi="Simplified Arabic" w:cs="Simplified Arabic" w:hint="cs"/>
          <w:sz w:val="28"/>
          <w:szCs w:val="28"/>
          <w:rtl/>
        </w:rPr>
        <w:t>4</w:t>
      </w:r>
      <w:r w:rsidR="0072520F" w:rsidRPr="0072520F">
        <w:rPr>
          <w:rFonts w:ascii="Simplified Arabic" w:hAnsi="Simplified Arabic" w:cs="Simplified Arabic"/>
          <w:sz w:val="28"/>
          <w:szCs w:val="28"/>
          <w:rtl/>
        </w:rPr>
        <w:t>) أخيرا تحلل المحكمة إيجابيات وسلبيات القيود.</w:t>
      </w:r>
      <w:r w:rsidR="0072520F" w:rsidRPr="00B96506">
        <w:rPr>
          <w:rFonts w:ascii="Simplified Arabic" w:hAnsi="Simplified Arabic" w:cs="Simplified Arabic"/>
          <w:sz w:val="28"/>
          <w:szCs w:val="28"/>
          <w:vertAlign w:val="superscript"/>
          <w:rtl/>
        </w:rPr>
        <w:footnoteReference w:id="27"/>
      </w:r>
    </w:p>
    <w:p w14:paraId="45E1A093" w14:textId="31154072"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ومن الناحية العملية، تمت النظر في الغالبية العظمى من القضايا الرياضية في الولايات المتحدة على أساس القاعدة القانونية (تحكيم المنطق).  و مما لاحظ المعلقون أن هذه القاعدة، أن المحاكم تعترف بالوضع الخاص للرياضات الاحترافية من خلال تطبيق قانون مكافحة الاحتكار، وهذا يجعل من الصعب تحدي الوضع الراهن.</w:t>
      </w:r>
      <w:r w:rsidRPr="00B96506">
        <w:rPr>
          <w:rFonts w:ascii="Simplified Arabic" w:hAnsi="Simplified Arabic" w:cs="Simplified Arabic"/>
          <w:sz w:val="28"/>
          <w:szCs w:val="28"/>
          <w:vertAlign w:val="superscript"/>
          <w:rtl/>
        </w:rPr>
        <w:footnoteReference w:id="28"/>
      </w:r>
      <w:r w:rsidRPr="0072520F">
        <w:rPr>
          <w:rFonts w:ascii="Simplified Arabic" w:hAnsi="Simplified Arabic" w:cs="Simplified Arabic"/>
          <w:sz w:val="28"/>
          <w:szCs w:val="28"/>
          <w:rtl/>
        </w:rPr>
        <w:t xml:space="preserve">  في الواقع، </w:t>
      </w:r>
      <w:r w:rsidRPr="0072520F">
        <w:rPr>
          <w:rFonts w:ascii="Simplified Arabic" w:hAnsi="Simplified Arabic" w:cs="Simplified Arabic"/>
          <w:sz w:val="28"/>
          <w:szCs w:val="28"/>
          <w:rtl/>
        </w:rPr>
        <w:lastRenderedPageBreak/>
        <w:t xml:space="preserve">أوضحت المحاكم أن العبء يقع مباشرة على عاتق المدعين، نظرًا لعدم وجود متطلبات في قوانين مكافحة الاحتكار الحالية لإنشاء اللوائح الأقل تقييدًا لتحقيق أهداف مؤيدة للمنافسة، فإنه يتعين على المدعين تلبية معيار صارم للغاية لإثبات أن القيود </w:t>
      </w:r>
      <w:proofErr w:type="spellStart"/>
      <w:r w:rsidRPr="0072520F">
        <w:rPr>
          <w:rFonts w:ascii="Simplified Arabic" w:hAnsi="Simplified Arabic" w:cs="Simplified Arabic"/>
          <w:sz w:val="28"/>
          <w:szCs w:val="28"/>
          <w:rtl/>
        </w:rPr>
        <w:t>الإحتكارية</w:t>
      </w:r>
      <w:proofErr w:type="spellEnd"/>
      <w:r w:rsidRPr="0072520F">
        <w:rPr>
          <w:rFonts w:ascii="Simplified Arabic" w:hAnsi="Simplified Arabic" w:cs="Simplified Arabic"/>
          <w:sz w:val="28"/>
          <w:szCs w:val="28"/>
          <w:rtl/>
        </w:rPr>
        <w:t xml:space="preserve"> أثرت بشكل جوهري ملحوظ وليس بشكل هامشي على المنافسة.</w:t>
      </w:r>
      <w:r w:rsidRPr="00B96506">
        <w:rPr>
          <w:rFonts w:ascii="Simplified Arabic" w:hAnsi="Simplified Arabic" w:cs="Simplified Arabic"/>
          <w:sz w:val="28"/>
          <w:szCs w:val="28"/>
          <w:vertAlign w:val="superscript"/>
          <w:rtl/>
        </w:rPr>
        <w:footnoteReference w:id="29"/>
      </w:r>
      <w:r w:rsidRPr="0072520F">
        <w:rPr>
          <w:rFonts w:ascii="Simplified Arabic" w:hAnsi="Simplified Arabic" w:cs="Simplified Arabic"/>
          <w:sz w:val="28"/>
          <w:szCs w:val="28"/>
          <w:rtl/>
        </w:rPr>
        <w:t xml:space="preserve">                 </w:t>
      </w:r>
    </w:p>
    <w:p w14:paraId="7BDA0702" w14:textId="17561CF9"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باختصار، فإن العوامل التالية الناشئة عن إطار عمل مكافحة الاحتكار المعاصر، كما هو مطبق على المنظمات الرياضية الاحترافية والتي من المرجح أن تكون مهمة في النظر في القضية الحالية:</w:t>
      </w:r>
    </w:p>
    <w:p w14:paraId="764BCF3C" w14:textId="34C4B697" w:rsidR="0072520F" w:rsidRPr="0072520F" w:rsidRDefault="00B96506" w:rsidP="00B96506">
      <w:pPr>
        <w:widowControl/>
        <w:adjustRightInd/>
        <w:spacing w:line="240" w:lineRule="auto"/>
        <w:ind w:left="334" w:hanging="334"/>
        <w:jc w:val="lowKashida"/>
        <w:textAlignment w:val="auto"/>
        <w:rPr>
          <w:rFonts w:ascii="Simplified Arabic" w:hAnsi="Simplified Arabic" w:cs="Simplified Arabic"/>
          <w:sz w:val="28"/>
          <w:szCs w:val="28"/>
          <w:rtl/>
        </w:rPr>
      </w:pPr>
      <w:r>
        <w:rPr>
          <w:rFonts w:ascii="Simplified Arabic" w:hAnsi="Simplified Arabic" w:cs="Simplified Arabic" w:hint="cs"/>
          <w:sz w:val="28"/>
          <w:szCs w:val="28"/>
          <w:rtl/>
        </w:rPr>
        <w:t>1</w:t>
      </w:r>
      <w:r w:rsidR="0072520F" w:rsidRPr="0072520F">
        <w:rPr>
          <w:rFonts w:ascii="Simplified Arabic" w:hAnsi="Simplified Arabic" w:cs="Simplified Arabic"/>
          <w:sz w:val="28"/>
          <w:szCs w:val="28"/>
          <w:rtl/>
        </w:rPr>
        <w:t>) تخضع الدوريات الرياضية الاحترافية لقوانين مكافحة الاحتكار، على الرغم من الاعتراف بوضعها الخاص.</w:t>
      </w:r>
    </w:p>
    <w:p w14:paraId="555A2635" w14:textId="2A06C3BB" w:rsidR="0072520F" w:rsidRPr="0072520F" w:rsidRDefault="00B96506" w:rsidP="00B96506">
      <w:pPr>
        <w:widowControl/>
        <w:adjustRightInd/>
        <w:spacing w:line="240" w:lineRule="auto"/>
        <w:ind w:left="334" w:hanging="334"/>
        <w:jc w:val="lowKashida"/>
        <w:textAlignment w:val="auto"/>
        <w:rPr>
          <w:rFonts w:ascii="Simplified Arabic" w:hAnsi="Simplified Arabic" w:cs="Simplified Arabic"/>
          <w:sz w:val="28"/>
          <w:szCs w:val="28"/>
          <w:rtl/>
        </w:rPr>
      </w:pPr>
      <w:r>
        <w:rPr>
          <w:rFonts w:ascii="Simplified Arabic" w:hAnsi="Simplified Arabic" w:cs="Simplified Arabic" w:hint="cs"/>
          <w:sz w:val="28"/>
          <w:szCs w:val="28"/>
          <w:rtl/>
        </w:rPr>
        <w:t>2</w:t>
      </w:r>
      <w:r w:rsidR="0072520F" w:rsidRPr="0072520F">
        <w:rPr>
          <w:rFonts w:ascii="Simplified Arabic" w:hAnsi="Simplified Arabic" w:cs="Simplified Arabic"/>
          <w:sz w:val="28"/>
          <w:szCs w:val="28"/>
          <w:rtl/>
        </w:rPr>
        <w:t>) فيما يتعلق بالرياضة، من المرجح أن تتبع المحاكم قاعدة تحكيم المنطق.</w:t>
      </w:r>
      <w:r w:rsidR="0072520F" w:rsidRPr="0072520F">
        <w:rPr>
          <w:rFonts w:ascii="Simplified Arabic" w:hAnsi="Simplified Arabic" w:cs="Simplified Arabic"/>
          <w:sz w:val="28"/>
          <w:szCs w:val="28"/>
        </w:rPr>
        <w:t xml:space="preserve"> </w:t>
      </w:r>
      <w:r w:rsidR="0072520F" w:rsidRPr="0072520F">
        <w:rPr>
          <w:rFonts w:ascii="Simplified Arabic" w:hAnsi="Simplified Arabic" w:cs="Simplified Arabic"/>
          <w:sz w:val="28"/>
          <w:szCs w:val="28"/>
          <w:rtl/>
        </w:rPr>
        <w:t>بينما من المرجح أن تكون حجج الكيان الفردي والتجارة بين الولايات غير فعالة كدفاعات، فإن قاعدة المنطق توفر مساحة كبيرة للدفاع.</w:t>
      </w:r>
    </w:p>
    <w:p w14:paraId="7E78B15E" w14:textId="02A32FC8" w:rsidR="0072520F" w:rsidRPr="0072520F" w:rsidRDefault="00B96506" w:rsidP="00B96506">
      <w:pPr>
        <w:widowControl/>
        <w:adjustRightInd/>
        <w:spacing w:line="240" w:lineRule="auto"/>
        <w:ind w:left="334" w:hanging="334"/>
        <w:jc w:val="lowKashida"/>
        <w:textAlignment w:val="auto"/>
        <w:rPr>
          <w:rFonts w:ascii="Simplified Arabic" w:hAnsi="Simplified Arabic" w:cs="Simplified Arabic"/>
          <w:sz w:val="28"/>
          <w:szCs w:val="28"/>
          <w:rtl/>
        </w:rPr>
      </w:pPr>
      <w:r>
        <w:rPr>
          <w:rFonts w:ascii="Simplified Arabic" w:hAnsi="Simplified Arabic" w:cs="Simplified Arabic" w:hint="cs"/>
          <w:sz w:val="28"/>
          <w:szCs w:val="28"/>
          <w:rtl/>
        </w:rPr>
        <w:t>3</w:t>
      </w:r>
      <w:r w:rsidR="0072520F" w:rsidRPr="0072520F">
        <w:rPr>
          <w:rFonts w:ascii="Simplified Arabic" w:hAnsi="Simplified Arabic" w:cs="Simplified Arabic"/>
          <w:sz w:val="28"/>
          <w:szCs w:val="28"/>
          <w:rtl/>
        </w:rPr>
        <w:t>) تركز القضايا الرياضية على ما إذا كانت اللوائح الحالية تعزز التنافسية أو تقيدها.</w:t>
      </w:r>
    </w:p>
    <w:p w14:paraId="7739557C" w14:textId="6A779DD6" w:rsidR="0072520F" w:rsidRPr="0072520F" w:rsidRDefault="00B96506" w:rsidP="00B96506">
      <w:pPr>
        <w:widowControl/>
        <w:adjustRightInd/>
        <w:spacing w:line="240" w:lineRule="auto"/>
        <w:ind w:left="334" w:hanging="334"/>
        <w:jc w:val="lowKashida"/>
        <w:textAlignment w:val="auto"/>
        <w:rPr>
          <w:rFonts w:ascii="Simplified Arabic" w:hAnsi="Simplified Arabic" w:cs="Simplified Arabic"/>
          <w:sz w:val="28"/>
          <w:szCs w:val="28"/>
          <w:rtl/>
        </w:rPr>
      </w:pPr>
      <w:r>
        <w:rPr>
          <w:rFonts w:ascii="Simplified Arabic" w:hAnsi="Simplified Arabic" w:cs="Simplified Arabic" w:hint="cs"/>
          <w:sz w:val="28"/>
          <w:szCs w:val="28"/>
          <w:rtl/>
        </w:rPr>
        <w:t>4</w:t>
      </w:r>
      <w:r w:rsidR="0072520F" w:rsidRPr="0072520F">
        <w:rPr>
          <w:rFonts w:ascii="Simplified Arabic" w:hAnsi="Simplified Arabic" w:cs="Simplified Arabic"/>
          <w:sz w:val="28"/>
          <w:szCs w:val="28"/>
          <w:rtl/>
        </w:rPr>
        <w:t xml:space="preserve">) نظرًا لعدم وجود شرط في قوانين مكافحة الاحتكار لتطبيق أقل الممارسات واللوائح تقييدًا، يقع العبء عادةً على المدعي لإظهار أن هناك ضررًا للمنافسة بشكل عام وأن اللوائح الأقل تقييدًا يمكن أن تحقق الأهداف المؤيدة للمنافسة. </w:t>
      </w:r>
    </w:p>
    <w:p w14:paraId="32574534" w14:textId="77777777" w:rsidR="00B96506" w:rsidRDefault="00B96506" w:rsidP="00B96506">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6D917D71" w14:textId="09EF09CA" w:rsidR="0072520F" w:rsidRPr="0072520F" w:rsidRDefault="0072520F" w:rsidP="00B96506">
      <w:pPr>
        <w:widowControl/>
        <w:adjustRightInd/>
        <w:spacing w:line="240" w:lineRule="auto"/>
        <w:jc w:val="left"/>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lastRenderedPageBreak/>
        <w:t>4.  القضية الحالية</w:t>
      </w:r>
    </w:p>
    <w:p w14:paraId="01863A96" w14:textId="77777777" w:rsidR="0072520F" w:rsidRPr="0072520F" w:rsidRDefault="0072520F" w:rsidP="00B96506">
      <w:pPr>
        <w:widowControl/>
        <w:adjustRightInd/>
        <w:spacing w:line="240" w:lineRule="auto"/>
        <w:ind w:firstLine="567"/>
        <w:jc w:val="lowKashida"/>
        <w:textAlignment w:val="auto"/>
        <w:rPr>
          <w:rFonts w:ascii="Simplified Arabic" w:eastAsia="Calibri" w:hAnsi="Simplified Arabic" w:cs="Simplified Arabic"/>
          <w:sz w:val="28"/>
          <w:szCs w:val="28"/>
        </w:rPr>
      </w:pPr>
      <w:r w:rsidRPr="0072520F">
        <w:rPr>
          <w:rFonts w:ascii="Simplified Arabic" w:hAnsi="Simplified Arabic" w:cs="Simplified Arabic"/>
          <w:sz w:val="28"/>
          <w:szCs w:val="28"/>
          <w:rtl/>
        </w:rPr>
        <w:t xml:space="preserve">القضية الحالية هي أول محاولة جادة لتحدي هيمنة 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منذ أكثر من عشرين عامًا.  في عام </w:t>
      </w:r>
      <w:r w:rsidRPr="0072520F">
        <w:rPr>
          <w:rFonts w:ascii="Simplified Arabic" w:hAnsi="Simplified Arabic" w:cs="Simplified Arabic"/>
          <w:sz w:val="28"/>
          <w:szCs w:val="28"/>
        </w:rPr>
        <w:t>1994</w:t>
      </w:r>
      <w:r w:rsidRPr="0072520F">
        <w:rPr>
          <w:rFonts w:ascii="Simplified Arabic" w:hAnsi="Simplified Arabic" w:cs="Simplified Arabic"/>
          <w:sz w:val="28"/>
          <w:szCs w:val="28"/>
          <w:rtl/>
        </w:rPr>
        <w:t>، سعت لجنة التجارة الفيدرالية (</w:t>
      </w:r>
      <w:r w:rsidRPr="0072520F">
        <w:rPr>
          <w:rFonts w:ascii="Simplified Arabic" w:hAnsi="Simplified Arabic" w:cs="Simplified Arabic"/>
          <w:sz w:val="28"/>
          <w:szCs w:val="28"/>
        </w:rPr>
        <w:t>FTC</w:t>
      </w:r>
      <w:r w:rsidRPr="0072520F">
        <w:rPr>
          <w:rFonts w:ascii="Simplified Arabic" w:hAnsi="Simplified Arabic" w:cs="Simplified Arabic"/>
          <w:sz w:val="28"/>
          <w:szCs w:val="28"/>
          <w:rtl/>
        </w:rPr>
        <w:t xml:space="preserve">) إلى تحدي تصرفين تقوم بهما 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اعتبرتهما ضد المنافسة: مشاركة اللاعبين في الفعاليات غير المتعلقة بالجولة وبرامج الجولف التلفزيونية بإذن من مفوض الجولة (رئيس الجولة). فقد كانت لجنة التجارة الفيدرالية تجادل بأن مثل هذه الممارسات تحد من فرص الترويج للاتحادات او الفعاليات المنافسة في رياضة الجولف.  ففي ذلك الوقت، قدمت الجولة دعمًا سياسيًا وتجاريًا جادًا من خلال القول بأن القواعد المعنية كانت ضرورية للحفاظ على شعبية لعبة الجولف وزيادة الإيرادات وجعل الفعاليات الاحترافية أكثر جاذبية لأفضل اللاعبين.  ونتيجة لذلك، لم تصل القضية إلى قاعة المحكمة وتوقفت عند اللجنة الفيدرالية.</w:t>
      </w:r>
      <w:r w:rsidRPr="00B96506">
        <w:rPr>
          <w:rFonts w:ascii="Simplified Arabic" w:hAnsi="Simplified Arabic" w:cs="Simplified Arabic"/>
          <w:sz w:val="28"/>
          <w:szCs w:val="28"/>
          <w:vertAlign w:val="superscript"/>
          <w:rtl/>
        </w:rPr>
        <w:footnoteReference w:id="30"/>
      </w:r>
    </w:p>
    <w:p w14:paraId="15823A93" w14:textId="77777777"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من حيث الجوهر، فإن القضية الحالية هي تكرار لدعوى لجنة التجارة الفيدرالية لعام </w:t>
      </w:r>
      <w:r w:rsidRPr="0072520F">
        <w:rPr>
          <w:rFonts w:ascii="Simplified Arabic" w:hAnsi="Simplified Arabic" w:cs="Simplified Arabic"/>
          <w:sz w:val="28"/>
          <w:szCs w:val="28"/>
        </w:rPr>
        <w:t>1994</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t xml:space="preserve"> </w:t>
      </w:r>
      <w:r w:rsidRPr="00B96506">
        <w:rPr>
          <w:rFonts w:ascii="Simplified Arabic" w:hAnsi="Simplified Arabic" w:cs="Simplified Arabic"/>
          <w:sz w:val="28"/>
          <w:szCs w:val="28"/>
          <w:vertAlign w:val="superscript"/>
          <w:rtl/>
        </w:rPr>
        <w:footnoteReference w:id="31"/>
      </w:r>
      <w:r w:rsidRPr="0072520F">
        <w:rPr>
          <w:rFonts w:ascii="Simplified Arabic" w:hAnsi="Simplified Arabic" w:cs="Simplified Arabic"/>
          <w:sz w:val="28"/>
          <w:szCs w:val="28"/>
          <w:rtl/>
        </w:rPr>
        <w:t xml:space="preserve">  إذ أن أسباب الادعاء بالممارسات المانعة للمنافسة من قبل الجولة هي نفسها، إذ لا تزال تمنع لاعبيها من المشاركة في  فعاليات غير متعلقة بالجولة دون إذن صريح.  فجاءت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غولف لتحل محل جولة الغولف العالمية (</w:t>
      </w:r>
      <w:r w:rsidRPr="0072520F">
        <w:rPr>
          <w:rFonts w:ascii="Simplified Arabic" w:hAnsi="Simplified Arabic" w:cs="Simplified Arabic"/>
          <w:sz w:val="28"/>
          <w:szCs w:val="28"/>
        </w:rPr>
        <w:t>WGT</w:t>
      </w:r>
      <w:r w:rsidRPr="0072520F">
        <w:rPr>
          <w:rFonts w:ascii="Simplified Arabic" w:hAnsi="Simplified Arabic" w:cs="Simplified Arabic"/>
          <w:sz w:val="28"/>
          <w:szCs w:val="28"/>
          <w:rtl/>
        </w:rPr>
        <w:t>) التي كانت بديلاً منافسًا مخططًا لجولة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و تمكنت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من جذب عدد كبير من كبار اللاعبين لفعالياتها وتأمين حقوقهم الاعلامية من خلال عدد من القنوات </w:t>
      </w:r>
      <w:r w:rsidRPr="0072520F">
        <w:rPr>
          <w:rFonts w:ascii="Simplified Arabic" w:hAnsi="Simplified Arabic" w:cs="Simplified Arabic"/>
          <w:sz w:val="28"/>
          <w:szCs w:val="28"/>
          <w:rtl/>
        </w:rPr>
        <w:lastRenderedPageBreak/>
        <w:t xml:space="preserve">الناقلة.  وفقًا لذلك، في حين أن الجولة هددت فقط بتعطيل اللاعبين عن عملهم في عام </w:t>
      </w:r>
      <w:r w:rsidRPr="0072520F">
        <w:rPr>
          <w:rFonts w:ascii="Simplified Arabic" w:hAnsi="Simplified Arabic" w:cs="Simplified Arabic"/>
          <w:sz w:val="28"/>
          <w:szCs w:val="28"/>
        </w:rPr>
        <w:t>1994</w:t>
      </w:r>
      <w:r w:rsidRPr="0072520F">
        <w:rPr>
          <w:rFonts w:ascii="Simplified Arabic" w:hAnsi="Simplified Arabic" w:cs="Simplified Arabic"/>
          <w:sz w:val="28"/>
          <w:szCs w:val="28"/>
          <w:rtl/>
        </w:rPr>
        <w:t>، فقد فعلت ذلك لكل من شارك في فعالية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غولف، في الأول من يونيو لعام </w:t>
      </w:r>
      <w:r w:rsidRPr="0072520F">
        <w:rPr>
          <w:rFonts w:ascii="Simplified Arabic" w:hAnsi="Simplified Arabic" w:cs="Simplified Arabic"/>
          <w:sz w:val="28"/>
          <w:szCs w:val="28"/>
        </w:rPr>
        <w:t>2022</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footnoteReference w:id="32"/>
      </w:r>
      <w:r w:rsidRPr="0072520F">
        <w:rPr>
          <w:rFonts w:ascii="Simplified Arabic" w:hAnsi="Simplified Arabic" w:cs="Simplified Arabic"/>
          <w:sz w:val="28"/>
          <w:szCs w:val="28"/>
          <w:rtl/>
        </w:rPr>
        <w:t xml:space="preserve"> وهنا أود الإشارة على أنه وعلى عكس لجنة التجارة الفيدرالية في عام </w:t>
      </w:r>
      <w:r w:rsidRPr="0072520F">
        <w:rPr>
          <w:rFonts w:ascii="Simplified Arabic" w:hAnsi="Simplified Arabic" w:cs="Simplified Arabic"/>
          <w:sz w:val="28"/>
          <w:szCs w:val="28"/>
        </w:rPr>
        <w:t>1994</w:t>
      </w:r>
      <w:r w:rsidRPr="0072520F">
        <w:rPr>
          <w:rFonts w:ascii="Simplified Arabic" w:hAnsi="Simplified Arabic" w:cs="Simplified Arabic"/>
          <w:sz w:val="28"/>
          <w:szCs w:val="28"/>
          <w:rtl/>
        </w:rPr>
        <w:t>، فإن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لا تعاني من أي نقص في التمويل، ودعمها لقضية اللاعبين ضد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يعني أن القضية ستصل بالتأكيد إلى مرحلة المحاكمة.</w:t>
      </w:r>
    </w:p>
    <w:p w14:paraId="400DE814" w14:textId="77777777" w:rsidR="0072520F" w:rsidRPr="0072520F" w:rsidRDefault="0072520F" w:rsidP="00B96506">
      <w:pPr>
        <w:widowControl/>
        <w:adjustRightInd/>
        <w:spacing w:line="240" w:lineRule="auto"/>
        <w:jc w:val="lowKashida"/>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t xml:space="preserve">4.1 مطالبات </w:t>
      </w:r>
      <w:r w:rsidRPr="0072520F">
        <w:rPr>
          <w:rFonts w:ascii="Simplified Arabic" w:hAnsi="Simplified Arabic" w:cs="Simplified Arabic"/>
          <w:b/>
          <w:bCs/>
          <w:sz w:val="28"/>
          <w:szCs w:val="28"/>
        </w:rPr>
        <w:t>LIV</w:t>
      </w:r>
      <w:r w:rsidRPr="0072520F">
        <w:rPr>
          <w:rFonts w:ascii="Simplified Arabic" w:hAnsi="Simplified Arabic" w:cs="Simplified Arabic"/>
          <w:b/>
          <w:bCs/>
          <w:sz w:val="28"/>
          <w:szCs w:val="28"/>
          <w:rtl/>
        </w:rPr>
        <w:t xml:space="preserve"> واللاعبين</w:t>
      </w:r>
    </w:p>
    <w:p w14:paraId="708D21F7" w14:textId="77777777" w:rsidR="0072520F" w:rsidRPr="0072520F" w:rsidRDefault="0072520F" w:rsidP="00B96506">
      <w:pPr>
        <w:widowControl/>
        <w:adjustRightInd/>
        <w:spacing w:line="240" w:lineRule="auto"/>
        <w:ind w:firstLine="567"/>
        <w:jc w:val="lowKashida"/>
        <w:textAlignment w:val="auto"/>
        <w:rPr>
          <w:rFonts w:ascii="Simplified Arabic" w:eastAsia="Calibri" w:hAnsi="Simplified Arabic" w:cs="Simplified Arabic"/>
          <w:sz w:val="28"/>
          <w:szCs w:val="28"/>
        </w:rPr>
      </w:pPr>
      <w:r w:rsidRPr="0072520F">
        <w:rPr>
          <w:rFonts w:ascii="Simplified Arabic" w:hAnsi="Simplified Arabic" w:cs="Simplified Arabic"/>
          <w:sz w:val="28"/>
          <w:szCs w:val="28"/>
          <w:rtl/>
        </w:rPr>
        <w:t>تم توضيح مطالبات المدعين (اللاعبون و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في الشكوى المقدمة إلى المحكمة في أغسطس عام </w:t>
      </w:r>
      <w:r w:rsidRPr="0072520F">
        <w:rPr>
          <w:rFonts w:ascii="Simplified Arabic" w:hAnsi="Simplified Arabic" w:cs="Simplified Arabic"/>
          <w:sz w:val="28"/>
          <w:szCs w:val="28"/>
        </w:rPr>
        <w:t>2022</w:t>
      </w:r>
      <w:r w:rsidRPr="0072520F">
        <w:rPr>
          <w:rFonts w:ascii="Simplified Arabic" w:hAnsi="Simplified Arabic" w:cs="Simplified Arabic"/>
          <w:sz w:val="28"/>
          <w:szCs w:val="28"/>
          <w:rtl/>
        </w:rPr>
        <w:t>, فإن أساس شكوى مكافحة الاحتكار ضد الجولة تتضمن سياساتها المتعلقة بلائحة حقوق وسائل الإعلام ولوائح الفعاليات المتضاربة. فقد تم استدعاء كلاهما نتيجة للفعالية الأولى لجولة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إذ تحظر لائحة حقوق وسائل الإعلام المشاركين في الجولة من المشاركة في برامج الغولف المباشرة أو المسجلة أثناء فعاليات الجولة وخارجها.</w:t>
      </w:r>
      <w:r w:rsidRPr="00B96506">
        <w:rPr>
          <w:rFonts w:ascii="Simplified Arabic" w:hAnsi="Simplified Arabic" w:cs="Simplified Arabic"/>
          <w:sz w:val="28"/>
          <w:szCs w:val="28"/>
          <w:vertAlign w:val="superscript"/>
          <w:rtl/>
        </w:rPr>
        <w:footnoteReference w:id="33"/>
      </w:r>
      <w:r w:rsidRPr="0072520F">
        <w:rPr>
          <w:rFonts w:ascii="Simplified Arabic" w:hAnsi="Simplified Arabic" w:cs="Simplified Arabic"/>
          <w:sz w:val="28"/>
          <w:szCs w:val="28"/>
          <w:rtl/>
        </w:rPr>
        <w:t xml:space="preserve">  يعتبر المدعون اللائحة "تتعارض مع حقوق المدعين كمقاولين مستقلين، مما يحرم المدعين من الحق في بيع حقوق وسائل الإعلام الخاصة بهم إلى مقدمي العروض الآخرين للحصول على خدماتهم".  علاوة على ذلك، جادل المدعون بأن تطبيق القاعدة غير تنافسي بطبيعته لأنه، أثناء رفض إصدار طلبه من قبل اللاعبين لفعالية </w:t>
      </w:r>
      <w:r w:rsidRPr="0072520F">
        <w:rPr>
          <w:rFonts w:ascii="Simplified Arabic" w:hAnsi="Simplified Arabic" w:cs="Simplified Arabic"/>
          <w:sz w:val="28"/>
          <w:szCs w:val="28"/>
          <w:rtl/>
        </w:rPr>
        <w:lastRenderedPageBreak/>
        <w:t>(</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غولف، تم منح مثل هذه الإصدارات لبطولات أخرى. فإن السبب الوحيد لذلك، وفقًا للمدعين، هو أن 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ترى في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"تهديدًا تنافسيًا".</w:t>
      </w:r>
      <w:r w:rsidRPr="00B96506">
        <w:rPr>
          <w:rFonts w:ascii="Simplified Arabic" w:eastAsia="Calibri" w:hAnsi="Simplified Arabic" w:cs="Simplified Arabic"/>
          <w:sz w:val="28"/>
          <w:szCs w:val="28"/>
          <w:vertAlign w:val="superscript"/>
        </w:rPr>
        <w:footnoteReference w:id="34"/>
      </w:r>
    </w:p>
    <w:p w14:paraId="715CE907" w14:textId="77777777"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تمنع لوائح الفعاليات المتضاربة على لاعبي الجولة المشاركة في مسابقات أخرى بغض النظر عما إذا كانوا يشاركون في جولة أم لا.  في حين أن هذا المنع يتعلق بأوقات فعاليات الجولات التي ترعاها أو تشارك في رعايتها، فإن تلك الفعاليات  تغطي </w:t>
      </w:r>
      <w:r w:rsidRPr="0072520F">
        <w:rPr>
          <w:rFonts w:ascii="Simplified Arabic" w:hAnsi="Simplified Arabic" w:cs="Simplified Arabic"/>
          <w:sz w:val="28"/>
          <w:szCs w:val="28"/>
        </w:rPr>
        <w:t>48</w:t>
      </w:r>
      <w:r w:rsidRPr="0072520F">
        <w:rPr>
          <w:rFonts w:ascii="Simplified Arabic" w:hAnsi="Simplified Arabic" w:cs="Simplified Arabic"/>
          <w:sz w:val="28"/>
          <w:szCs w:val="28"/>
          <w:rtl/>
        </w:rPr>
        <w:t xml:space="preserve"> أسبوعًا في السنة، وبالتالي، وفقًا للمدعين، يحظر فعليًا المشاركة خارج الجولات في كل من أمريكا الشمالية وخارجها.</w:t>
      </w:r>
      <w:r w:rsidRPr="00B96506">
        <w:rPr>
          <w:rFonts w:ascii="Simplified Arabic" w:hAnsi="Simplified Arabic" w:cs="Simplified Arabic"/>
          <w:sz w:val="28"/>
          <w:szCs w:val="28"/>
          <w:vertAlign w:val="superscript"/>
          <w:rtl/>
        </w:rPr>
        <w:footnoteReference w:id="35"/>
      </w:r>
      <w:r w:rsidRPr="0072520F">
        <w:rPr>
          <w:rFonts w:ascii="Simplified Arabic" w:hAnsi="Simplified Arabic" w:cs="Simplified Arabic"/>
          <w:sz w:val="28"/>
          <w:szCs w:val="28"/>
          <w:rtl/>
        </w:rPr>
        <w:t xml:space="preserve">  إضافة إلى ذلك، فإن حقيقة أن المفوض يحتفظ بسلطة تقديرية حصرية فيما يتعلق بما إذا كان منح استثناءات من لوائح الفعاليات المتضاربة "لا يسمح بالمنافسة الهادفة من خلال الجولات الأخرى".  علاوة على ذلك، قيل كذلك أن الجولة قد غيرت ممارستها المعتادة لمنح الإعفاء عن الفعاليات الدولية من أجل تقييد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التي تم انعقاد أول فعالية لها في لندن.</w:t>
      </w:r>
      <w:r w:rsidRPr="00B96506">
        <w:rPr>
          <w:rFonts w:ascii="Simplified Arabic" w:hAnsi="Simplified Arabic" w:cs="Simplified Arabic"/>
          <w:sz w:val="28"/>
          <w:szCs w:val="28"/>
          <w:vertAlign w:val="superscript"/>
          <w:rtl/>
        </w:rPr>
        <w:footnoteReference w:id="36"/>
      </w:r>
    </w:p>
    <w:p w14:paraId="1464ABC1" w14:textId="28412640"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النقطة الرئيسية الثالثة في الشكوى تتعلق بالتحالف الاستراتيجي بين الجولة والجولة الأوروبية. حتى قبل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حاول صندوق </w:t>
      </w:r>
      <w:proofErr w:type="spellStart"/>
      <w:r w:rsidRPr="0072520F">
        <w:rPr>
          <w:rFonts w:ascii="Simplified Arabic" w:hAnsi="Simplified Arabic" w:cs="Simplified Arabic"/>
          <w:sz w:val="28"/>
          <w:szCs w:val="28"/>
          <w:rtl/>
        </w:rPr>
        <w:t>الإستثمارات</w:t>
      </w:r>
      <w:proofErr w:type="spellEnd"/>
      <w:r w:rsidRPr="0072520F">
        <w:rPr>
          <w:rFonts w:ascii="Simplified Arabic" w:hAnsi="Simplified Arabic" w:cs="Simplified Arabic"/>
          <w:sz w:val="28"/>
          <w:szCs w:val="28"/>
          <w:rtl/>
        </w:rPr>
        <w:t xml:space="preserve"> </w:t>
      </w:r>
      <w:proofErr w:type="spellStart"/>
      <w:r w:rsidRPr="0072520F">
        <w:rPr>
          <w:rFonts w:ascii="Simplified Arabic" w:hAnsi="Simplified Arabic" w:cs="Simplified Arabic"/>
          <w:sz w:val="28"/>
          <w:szCs w:val="28"/>
          <w:rtl/>
        </w:rPr>
        <w:t>العامه</w:t>
      </w:r>
      <w:proofErr w:type="spellEnd"/>
      <w:r w:rsidRPr="0072520F">
        <w:rPr>
          <w:rFonts w:ascii="Simplified Arabic" w:hAnsi="Simplified Arabic" w:cs="Simplified Arabic"/>
          <w:sz w:val="28"/>
          <w:szCs w:val="28"/>
          <w:rtl/>
        </w:rPr>
        <w:t xml:space="preserve"> السعودي إطلاق دوري الغولف المحترف (</w:t>
      </w:r>
      <w:r w:rsidRPr="0072520F">
        <w:rPr>
          <w:rFonts w:ascii="Simplified Arabic" w:hAnsi="Simplified Arabic" w:cs="Simplified Arabic"/>
          <w:sz w:val="28"/>
          <w:szCs w:val="28"/>
        </w:rPr>
        <w:t>PGL</w:t>
      </w:r>
      <w:r w:rsidRPr="0072520F">
        <w:rPr>
          <w:rFonts w:ascii="Simplified Arabic" w:hAnsi="Simplified Arabic" w:cs="Simplified Arabic"/>
          <w:sz w:val="28"/>
          <w:szCs w:val="28"/>
          <w:rtl/>
        </w:rPr>
        <w:t xml:space="preserve">). وفي عام </w:t>
      </w:r>
      <w:r w:rsidRPr="0072520F">
        <w:rPr>
          <w:rFonts w:ascii="Simplified Arabic" w:hAnsi="Simplified Arabic" w:cs="Simplified Arabic"/>
          <w:sz w:val="28"/>
          <w:szCs w:val="28"/>
        </w:rPr>
        <w:t>2020</w:t>
      </w:r>
      <w:r w:rsidRPr="0072520F">
        <w:rPr>
          <w:rFonts w:ascii="Simplified Arabic" w:hAnsi="Simplified Arabic" w:cs="Simplified Arabic"/>
          <w:sz w:val="28"/>
          <w:szCs w:val="28"/>
          <w:rtl/>
        </w:rPr>
        <w:t xml:space="preserve">، بدأت المفاوضات مع الجولة الأوروبية بشأن الفعاليات والرعاية المشتركة.  كانت الفكرة الرئيسية هي السماح للمشاركين في دوري </w:t>
      </w:r>
      <w:r w:rsidRPr="0072520F">
        <w:rPr>
          <w:rFonts w:ascii="Simplified Arabic" w:hAnsi="Simplified Arabic" w:cs="Simplified Arabic"/>
          <w:sz w:val="28"/>
          <w:szCs w:val="28"/>
          <w:rtl/>
        </w:rPr>
        <w:lastRenderedPageBreak/>
        <w:t>الغولف المحترف (</w:t>
      </w:r>
      <w:r w:rsidRPr="0072520F">
        <w:rPr>
          <w:rFonts w:ascii="Simplified Arabic" w:hAnsi="Simplified Arabic" w:cs="Simplified Arabic"/>
          <w:sz w:val="28"/>
          <w:szCs w:val="28"/>
        </w:rPr>
        <w:t>PGL</w:t>
      </w:r>
      <w:r w:rsidRPr="0072520F">
        <w:rPr>
          <w:rFonts w:ascii="Simplified Arabic" w:hAnsi="Simplified Arabic" w:cs="Simplified Arabic"/>
          <w:sz w:val="28"/>
          <w:szCs w:val="28"/>
          <w:rtl/>
        </w:rPr>
        <w:t>) بكسب نقاط نحو البطولة الرئيسية. فقد زعم المدعون أن هذه الجولة حرضت الجولة الأوروبية على إلغاء الشراكة مع دوري الغولف المحترف (</w:t>
      </w:r>
      <w:r w:rsidRPr="0072520F">
        <w:rPr>
          <w:rFonts w:ascii="Simplified Arabic" w:hAnsi="Simplified Arabic" w:cs="Simplified Arabic"/>
          <w:sz w:val="28"/>
          <w:szCs w:val="28"/>
        </w:rPr>
        <w:t>PGL</w:t>
      </w:r>
      <w:r w:rsidRPr="0072520F">
        <w:rPr>
          <w:rFonts w:ascii="Simplified Arabic" w:hAnsi="Simplified Arabic" w:cs="Simplified Arabic"/>
          <w:sz w:val="28"/>
          <w:szCs w:val="28"/>
          <w:rtl/>
        </w:rPr>
        <w:t>) "من خلال التهديدات والحوافز المادية" وبهذا، دخل الطرفان في اتفاق "لغرض غير قانوني للقضاء على المنافسين والمشاركين المحتملين في المستقبل".</w:t>
      </w:r>
      <w:r w:rsidRPr="00B96506">
        <w:rPr>
          <w:rFonts w:ascii="Simplified Arabic" w:hAnsi="Simplified Arabic" w:cs="Simplified Arabic"/>
          <w:sz w:val="28"/>
          <w:szCs w:val="28"/>
          <w:vertAlign w:val="superscript"/>
          <w:rtl/>
        </w:rPr>
        <w:footnoteReference w:id="37"/>
      </w:r>
      <w:r w:rsidRPr="0072520F">
        <w:rPr>
          <w:rFonts w:ascii="Simplified Arabic" w:hAnsi="Simplified Arabic" w:cs="Simplified Arabic"/>
          <w:sz w:val="28"/>
          <w:szCs w:val="28"/>
          <w:rtl/>
        </w:rPr>
        <w:t xml:space="preserve">    </w:t>
      </w:r>
    </w:p>
    <w:p w14:paraId="751DC87A" w14:textId="77777777"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بعد تقديم الشكوى، يمكن الاستنتاج أنه، على عكس غالبية قضايا رياضات مكافحة الاحتكار السابقة، فإن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تستخدم كلاً من القسم الأول والقسم الثاني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 وربما بعض أجزاء من قانون </w:t>
      </w:r>
      <w:proofErr w:type="spellStart"/>
      <w:r w:rsidRPr="0072520F">
        <w:rPr>
          <w:rFonts w:ascii="Simplified Arabic" w:hAnsi="Simplified Arabic" w:cs="Simplified Arabic"/>
          <w:sz w:val="28"/>
          <w:szCs w:val="28"/>
          <w:rtl/>
        </w:rPr>
        <w:t>كلايتون</w:t>
      </w:r>
      <w:proofErr w:type="spellEnd"/>
      <w:r w:rsidRPr="0072520F">
        <w:rPr>
          <w:rFonts w:ascii="Simplified Arabic" w:hAnsi="Simplified Arabic" w:cs="Simplified Arabic"/>
          <w:sz w:val="28"/>
          <w:szCs w:val="28"/>
          <w:rtl/>
        </w:rPr>
        <w:t xml:space="preserve"> وبالتالي تستخدم جميع الوسائل القانونية المعمول بها تقريبًا لتتحدى 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من شبه المؤكد أنه سيتم اختبار القسم الأول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على أساس "التحالف الاستراتيجي" للجولة مع الجولة الأوروبية. وبالتالي سيكون العبء على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هو بيان أن التحالف قد تم إنشاؤه خصيصًا لتقييد التجارة من خلال القضاء على المنافسة. على الرغم من أن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تشير بأن الجولة انتهكت مكافحة الاحتكار في حد ذاتها وتحت اختبار قاعدة تحكيم المنطق من خلال رفض التعامل أو المقاطعة، فإن التحليل الذي تم إجراؤه أعلاه يشير إلى أنه من المحتمل أن تنظر المحكمة في الأخير فقط. وبهذا سيكون التحدي هو التغلب على قاعدة تحكيم المنطق من خلال إظهار أن الهيكل الحالي في لعبة الغولف الاحترافية يقلل بشكل كبير من القدرة التنافسية وأن أهداف الترويج للغولف الاحترافية يمكن تحقيقها من خلال لوائح أقل تقييدًا. وفي هذا الصدد، من المرجح أن تدعي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بأن منهجها في العلاقات مع اللاعبين، والتي لا تحظر اللعب في </w:t>
      </w:r>
      <w:r w:rsidRPr="0072520F">
        <w:rPr>
          <w:rFonts w:ascii="Simplified Arabic" w:hAnsi="Simplified Arabic" w:cs="Simplified Arabic"/>
          <w:sz w:val="28"/>
          <w:szCs w:val="28"/>
          <w:rtl/>
        </w:rPr>
        <w:lastRenderedPageBreak/>
        <w:t>فعاليات أخرى وتحافظ على حقوقهم في الصورة الشخصية هي الأنسب لهذا الغرض.</w:t>
      </w:r>
      <w:r w:rsidRPr="00B96506">
        <w:rPr>
          <w:rFonts w:ascii="Simplified Arabic" w:hAnsi="Simplified Arabic" w:cs="Simplified Arabic"/>
          <w:sz w:val="28"/>
          <w:szCs w:val="28"/>
          <w:vertAlign w:val="superscript"/>
          <w:rtl/>
        </w:rPr>
        <w:footnoteReference w:id="38"/>
      </w:r>
    </w:p>
    <w:p w14:paraId="12A0E776" w14:textId="77777777" w:rsidR="0072520F" w:rsidRPr="0072520F" w:rsidRDefault="0072520F" w:rsidP="00B96506">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أما فيما يتعلق بالقسم الثاني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فإن العبء على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هو إظهار أن الجولة احتكرت سوقًا معينًا.  نظرًا لأن القسم الثاني يشير إلى "أي جزء من التجارة أو التبادل التجاري"، فمن المرجح أن تركز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على فعاليات النخبة لرياضة الغولف.  ومن المثير للاهتمام، أن الشكوى لم تذكر الجولة باعتبارها محتكرة بح</w:t>
      </w:r>
      <w:bookmarkStart w:id="1" w:name="_GoBack"/>
      <w:bookmarkEnd w:id="1"/>
      <w:r w:rsidRPr="0072520F">
        <w:rPr>
          <w:rFonts w:ascii="Simplified Arabic" w:hAnsi="Simplified Arabic" w:cs="Simplified Arabic"/>
          <w:sz w:val="28"/>
          <w:szCs w:val="28"/>
          <w:rtl/>
        </w:rPr>
        <w:t>د ذاتها، ولكن محتكرة لخدمات الجولف الاحترافية.</w:t>
      </w:r>
      <w:r w:rsidRPr="00B96506">
        <w:rPr>
          <w:rFonts w:ascii="Simplified Arabic" w:hAnsi="Simplified Arabic" w:cs="Simplified Arabic"/>
          <w:sz w:val="28"/>
          <w:szCs w:val="28"/>
          <w:vertAlign w:val="superscript"/>
          <w:rtl/>
        </w:rPr>
        <w:footnoteReference w:id="39"/>
      </w:r>
      <w:r w:rsidRPr="0072520F">
        <w:rPr>
          <w:rFonts w:ascii="Simplified Arabic" w:hAnsi="Simplified Arabic" w:cs="Simplified Arabic"/>
          <w:sz w:val="28"/>
          <w:szCs w:val="28"/>
          <w:rtl/>
        </w:rPr>
        <w:t xml:space="preserve">  وهذا يعني أن الجولة متهمة لكونها مشتريًا مقيدًا، وليست بائعًا. أقرت المحاكم بأن احتكار الشراء يقع ضمن القسم الثاني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(على سبيل المثال، شركة </w:t>
      </w:r>
      <w:proofErr w:type="spellStart"/>
      <w:r w:rsidRPr="0072520F">
        <w:rPr>
          <w:rFonts w:ascii="Simplified Arabic" w:hAnsi="Simplified Arabic" w:cs="Simplified Arabic"/>
          <w:sz w:val="28"/>
          <w:szCs w:val="28"/>
          <w:rtl/>
        </w:rPr>
        <w:t>ويرهاوسر</w:t>
      </w:r>
      <w:proofErr w:type="spellEnd"/>
      <w:r w:rsidRPr="0072520F">
        <w:rPr>
          <w:rFonts w:ascii="Simplified Arabic" w:hAnsi="Simplified Arabic" w:cs="Simplified Arabic"/>
          <w:sz w:val="28"/>
          <w:szCs w:val="28"/>
          <w:rtl/>
        </w:rPr>
        <w:t xml:space="preserve"> ضد شركة روس </w:t>
      </w:r>
      <w:proofErr w:type="spellStart"/>
      <w:r w:rsidRPr="0072520F">
        <w:rPr>
          <w:rFonts w:ascii="Simplified Arabic" w:hAnsi="Simplified Arabic" w:cs="Simplified Arabic"/>
          <w:sz w:val="28"/>
          <w:szCs w:val="28"/>
          <w:rtl/>
        </w:rPr>
        <w:t>سيمنزهاردوود</w:t>
      </w:r>
      <w:proofErr w:type="spellEnd"/>
      <w:r w:rsidRPr="0072520F">
        <w:rPr>
          <w:rFonts w:ascii="Simplified Arabic" w:hAnsi="Simplified Arabic" w:cs="Simplified Arabic"/>
          <w:sz w:val="28"/>
          <w:szCs w:val="28"/>
          <w:rtl/>
        </w:rPr>
        <w:t xml:space="preserve"> </w:t>
      </w:r>
      <w:proofErr w:type="spellStart"/>
      <w:r w:rsidRPr="0072520F">
        <w:rPr>
          <w:rFonts w:ascii="Simplified Arabic" w:hAnsi="Simplified Arabic" w:cs="Simplified Arabic"/>
          <w:sz w:val="28"/>
          <w:szCs w:val="28"/>
          <w:rtl/>
        </w:rPr>
        <w:t>لامبر</w:t>
      </w:r>
      <w:proofErr w:type="spellEnd"/>
      <w:r w:rsidRPr="0072520F">
        <w:rPr>
          <w:rFonts w:ascii="Simplified Arabic" w:hAnsi="Simplified Arabic" w:cs="Simplified Arabic"/>
          <w:sz w:val="28"/>
          <w:szCs w:val="28"/>
          <w:rtl/>
        </w:rPr>
        <w:t xml:space="preserve">، </w:t>
      </w:r>
      <w:r w:rsidRPr="0072520F">
        <w:rPr>
          <w:rFonts w:ascii="Simplified Arabic" w:hAnsi="Simplified Arabic" w:cs="Simplified Arabic"/>
          <w:sz w:val="28"/>
          <w:szCs w:val="28"/>
        </w:rPr>
        <w:t>2007</w:t>
      </w:r>
      <w:r w:rsidRPr="0072520F">
        <w:rPr>
          <w:rFonts w:ascii="Simplified Arabic" w:hAnsi="Simplified Arabic" w:cs="Simplified Arabic"/>
          <w:sz w:val="28"/>
          <w:szCs w:val="28"/>
          <w:rtl/>
        </w:rPr>
        <w:t>).</w:t>
      </w:r>
      <w:r w:rsidRPr="00B96506">
        <w:rPr>
          <w:rFonts w:ascii="Simplified Arabic" w:hAnsi="Simplified Arabic" w:cs="Simplified Arabic"/>
          <w:sz w:val="28"/>
          <w:szCs w:val="28"/>
          <w:vertAlign w:val="superscript"/>
          <w:rtl/>
        </w:rPr>
        <w:footnoteReference w:id="40"/>
      </w:r>
      <w:r w:rsidRPr="0072520F">
        <w:rPr>
          <w:rFonts w:ascii="Simplified Arabic" w:hAnsi="Simplified Arabic" w:cs="Simplified Arabic"/>
          <w:sz w:val="28"/>
          <w:szCs w:val="28"/>
          <w:rtl/>
        </w:rPr>
        <w:t xml:space="preserve">  يتم التعرف أيضا على استغلال الطاقة الاحتكارية في الرياضة.  لذلك، سيكون من المثير للاهتمام أن نرى كيف يمكن للمحاكم تفسير قوة المشتري والحاجة المحتملة لتقليلها.</w:t>
      </w:r>
      <w:r w:rsidRPr="00B96506">
        <w:rPr>
          <w:rFonts w:ascii="Simplified Arabic" w:hAnsi="Simplified Arabic" w:cs="Simplified Arabic"/>
          <w:sz w:val="28"/>
          <w:szCs w:val="28"/>
          <w:vertAlign w:val="superscript"/>
          <w:rtl/>
        </w:rPr>
        <w:footnoteReference w:id="41"/>
      </w:r>
    </w:p>
    <w:p w14:paraId="6302B8E5" w14:textId="77777777" w:rsidR="00373343" w:rsidRDefault="00373343" w:rsidP="00373343">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43278977" w14:textId="54FC02C2" w:rsidR="0072520F" w:rsidRPr="0072520F" w:rsidRDefault="0072520F" w:rsidP="00B96506">
      <w:pPr>
        <w:widowControl/>
        <w:adjustRightInd/>
        <w:spacing w:line="240" w:lineRule="auto"/>
        <w:jc w:val="left"/>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lastRenderedPageBreak/>
        <w:t>4.2 مطالبات</w:t>
      </w:r>
      <w:r w:rsidRPr="0072520F">
        <w:rPr>
          <w:rFonts w:ascii="Simplified Arabic" w:hAnsi="Simplified Arabic" w:cs="Simplified Arabic"/>
          <w:b/>
          <w:bCs/>
          <w:sz w:val="28"/>
          <w:szCs w:val="28"/>
        </w:rPr>
        <w:t xml:space="preserve">PGA </w:t>
      </w:r>
      <w:r w:rsidRPr="0072520F">
        <w:rPr>
          <w:rFonts w:ascii="Simplified Arabic" w:hAnsi="Simplified Arabic" w:cs="Simplified Arabic"/>
          <w:b/>
          <w:bCs/>
          <w:sz w:val="28"/>
          <w:szCs w:val="28"/>
          <w:rtl/>
        </w:rPr>
        <w:t xml:space="preserve"> (الجولة)</w:t>
      </w:r>
    </w:p>
    <w:p w14:paraId="5ED16ADA" w14:textId="77777777" w:rsidR="0072520F" w:rsidRPr="0072520F" w:rsidRDefault="0072520F" w:rsidP="00373343">
      <w:pPr>
        <w:widowControl/>
        <w:adjustRightInd/>
        <w:spacing w:line="240" w:lineRule="auto"/>
        <w:ind w:firstLine="567"/>
        <w:jc w:val="lowKashida"/>
        <w:textAlignment w:val="auto"/>
        <w:rPr>
          <w:rFonts w:ascii="Simplified Arabic" w:eastAsia="Calibri" w:hAnsi="Simplified Arabic" w:cs="Simplified Arabic"/>
          <w:sz w:val="28"/>
          <w:szCs w:val="28"/>
        </w:rPr>
      </w:pPr>
      <w:r w:rsidRPr="0072520F">
        <w:rPr>
          <w:rFonts w:ascii="Simplified Arabic" w:hAnsi="Simplified Arabic" w:cs="Simplified Arabic"/>
          <w:sz w:val="28"/>
          <w:szCs w:val="28"/>
          <w:rtl/>
        </w:rPr>
        <w:t xml:space="preserve">لقد رفعت الجولة إلى المحكمة </w:t>
      </w:r>
      <w:proofErr w:type="spellStart"/>
      <w:r w:rsidRPr="0072520F">
        <w:rPr>
          <w:rFonts w:ascii="Simplified Arabic" w:hAnsi="Simplified Arabic" w:cs="Simplified Arabic"/>
          <w:sz w:val="28"/>
          <w:szCs w:val="28"/>
          <w:rtl/>
        </w:rPr>
        <w:t>إعتراضها</w:t>
      </w:r>
      <w:proofErr w:type="spellEnd"/>
      <w:r w:rsidRPr="0072520F">
        <w:rPr>
          <w:rFonts w:ascii="Simplified Arabic" w:hAnsi="Simplified Arabic" w:cs="Simplified Arabic"/>
          <w:sz w:val="28"/>
          <w:szCs w:val="28"/>
          <w:rtl/>
        </w:rPr>
        <w:t xml:space="preserve"> على دعاوى المدعين. وبالنظر إلى رد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فإن دفاعهم ضد الاحتكار مبني على: </w:t>
      </w:r>
    </w:p>
    <w:p w14:paraId="22FD181F" w14:textId="0758845C" w:rsidR="0072520F" w:rsidRPr="0072520F" w:rsidRDefault="00373343" w:rsidP="00373343">
      <w:pPr>
        <w:widowControl/>
        <w:adjustRightInd/>
        <w:spacing w:line="240" w:lineRule="auto"/>
        <w:ind w:left="348" w:hanging="348"/>
        <w:jc w:val="lowKashida"/>
        <w:textAlignment w:val="auto"/>
        <w:rPr>
          <w:rFonts w:ascii="Simplified Arabic" w:eastAsia="Calibri" w:hAnsi="Simplified Arabic" w:cs="Simplified Arabic"/>
          <w:sz w:val="28"/>
          <w:szCs w:val="28"/>
        </w:rPr>
      </w:pPr>
      <w:r>
        <w:rPr>
          <w:rFonts w:ascii="Simplified Arabic" w:hAnsi="Simplified Arabic" w:cs="Simplified Arabic" w:hint="cs"/>
          <w:sz w:val="28"/>
          <w:szCs w:val="28"/>
          <w:rtl/>
        </w:rPr>
        <w:t>1</w:t>
      </w:r>
      <w:r w:rsidR="0072520F" w:rsidRPr="0072520F">
        <w:rPr>
          <w:rFonts w:ascii="Simplified Arabic" w:hAnsi="Simplified Arabic" w:cs="Simplified Arabic"/>
          <w:sz w:val="28"/>
          <w:szCs w:val="28"/>
          <w:rtl/>
        </w:rPr>
        <w:t>: الجولة ليست احتكارًا ولكنها منظمة تحمي موقعها في السوق والالتزامات التعاقدية للاعبين.</w:t>
      </w:r>
    </w:p>
    <w:p w14:paraId="62931874" w14:textId="7CDC3134" w:rsidR="0072520F" w:rsidRPr="0072520F" w:rsidRDefault="0072520F" w:rsidP="00373343">
      <w:pPr>
        <w:widowControl/>
        <w:adjustRightInd/>
        <w:spacing w:line="240" w:lineRule="auto"/>
        <w:ind w:left="348" w:hanging="348"/>
        <w:jc w:val="lowKashida"/>
        <w:textAlignment w:val="auto"/>
        <w:rPr>
          <w:rFonts w:ascii="Simplified Arabic" w:eastAsia="Calibri" w:hAnsi="Simplified Arabic" w:cs="Simplified Arabic"/>
          <w:sz w:val="28"/>
          <w:szCs w:val="28"/>
        </w:rPr>
      </w:pPr>
      <w:r w:rsidRPr="0072520F">
        <w:rPr>
          <w:rFonts w:ascii="Simplified Arabic" w:hAnsi="Simplified Arabic" w:cs="Simplified Arabic"/>
          <w:sz w:val="28"/>
          <w:szCs w:val="28"/>
          <w:rtl/>
        </w:rPr>
        <w:t xml:space="preserve"> </w:t>
      </w:r>
      <w:r w:rsidR="00373343">
        <w:rPr>
          <w:rFonts w:ascii="Simplified Arabic" w:hAnsi="Simplified Arabic" w:cs="Simplified Arabic" w:hint="cs"/>
          <w:sz w:val="28"/>
          <w:szCs w:val="28"/>
          <w:rtl/>
        </w:rPr>
        <w:t>2</w:t>
      </w:r>
      <w:r w:rsidRPr="0072520F">
        <w:rPr>
          <w:rFonts w:ascii="Simplified Arabic" w:hAnsi="Simplified Arabic" w:cs="Simplified Arabic"/>
          <w:sz w:val="28"/>
          <w:szCs w:val="28"/>
          <w:rtl/>
        </w:rPr>
        <w:t xml:space="preserve">: وأن الهيكلة واللوائح الحالية مؤيدة للمنافسة وتعمل على إفادة الغولف المحترف بشكل عام ولا تخدم </w:t>
      </w:r>
      <w:r w:rsidRPr="0072520F">
        <w:rPr>
          <w:rFonts w:ascii="Simplified Arabic" w:hAnsi="Simplified Arabic" w:cs="Simplified Arabic"/>
          <w:sz w:val="28"/>
          <w:szCs w:val="28"/>
        </w:rPr>
        <w:t xml:space="preserve">PGA </w:t>
      </w:r>
      <w:r w:rsidRPr="0072520F">
        <w:rPr>
          <w:rFonts w:ascii="Simplified Arabic" w:hAnsi="Simplified Arabic" w:cs="Simplified Arabic"/>
          <w:sz w:val="28"/>
          <w:szCs w:val="28"/>
          <w:rtl/>
        </w:rPr>
        <w:t>بشكل خاص.</w:t>
      </w:r>
    </w:p>
    <w:p w14:paraId="401E0703" w14:textId="77777777" w:rsidR="0072520F" w:rsidRPr="0072520F" w:rsidRDefault="0072520F" w:rsidP="00373343">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في ردها على شكوى المدعي فيما يتعلق بالقسم الأول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 حيث ناقشت الجولة بأن ادعاء رفض التعامل مع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غير صحيح، لأن المقاطعات تقتصر على الاتفاقات الموازية بين المنافسين المباشرين وأن الجولة لا تمتلك قوة سوقية كافية لممارسة المقاطعة.</w:t>
      </w:r>
      <w:r w:rsidRPr="00B96506">
        <w:rPr>
          <w:rFonts w:ascii="Simplified Arabic" w:hAnsi="Simplified Arabic" w:cs="Simplified Arabic"/>
          <w:sz w:val="28"/>
          <w:szCs w:val="28"/>
          <w:vertAlign w:val="superscript"/>
          <w:rtl/>
        </w:rPr>
        <w:footnoteReference w:id="42"/>
      </w:r>
      <w:r w:rsidRPr="0072520F">
        <w:rPr>
          <w:rFonts w:ascii="Simplified Arabic" w:hAnsi="Simplified Arabic" w:cs="Simplified Arabic"/>
          <w:sz w:val="28"/>
          <w:szCs w:val="28"/>
          <w:rtl/>
        </w:rPr>
        <w:t xml:space="preserve">  هذه الادعاءات قد تكون قابلة للنقاش، ومع ذلك، في حين أنه من المنطقي للجولة أن تجادل بأن مجرد ظهور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في سوق فعاليات الغولف المحترفة يُظهر القوة السوقية المحدودة للجولة، فمن المحتمل أن تنظر المحكمة في القدرة على عقد صفقات مع الجولة الأوروبية. علاوة على ذلك، في قضية شركة نوفا </w:t>
      </w:r>
      <w:proofErr w:type="spellStart"/>
      <w:r w:rsidRPr="0072520F">
        <w:rPr>
          <w:rFonts w:ascii="Simplified Arabic" w:hAnsi="Simplified Arabic" w:cs="Simplified Arabic"/>
          <w:sz w:val="28"/>
          <w:szCs w:val="28"/>
          <w:rtl/>
        </w:rPr>
        <w:t>ديزاين</w:t>
      </w:r>
      <w:proofErr w:type="spellEnd"/>
      <w:r w:rsidRPr="0072520F">
        <w:rPr>
          <w:rFonts w:ascii="Simplified Arabic" w:hAnsi="Simplified Arabic" w:cs="Simplified Arabic"/>
          <w:sz w:val="28"/>
          <w:szCs w:val="28"/>
          <w:rtl/>
        </w:rPr>
        <w:t xml:space="preserve">، وضعت المحكمة تفسيرها الخاص لكيفية رفض التعامل.  مرة أخرى، يشير هذا إلى أنه سيتم تطبيق قاعدة تحكيم المنطق.  فمن المحتمل أن تنظر المحكمة في الطبيعة الدقيقة وأهداف التحالف الاستراتيجي للجولة مع الجولة الأوروبية.  ومن المثير للاهتمام أن المعارضة لم تشرح بدقة كيف يمكن تبرير التحالف من خلال وجهة نظر مؤيدة للمنافسة، وهو ما يمكن أن يكون جانبًا مهمًا من هذا الجزء من </w:t>
      </w:r>
      <w:r w:rsidRPr="0072520F">
        <w:rPr>
          <w:rFonts w:ascii="Simplified Arabic" w:hAnsi="Simplified Arabic" w:cs="Simplified Arabic"/>
          <w:sz w:val="28"/>
          <w:szCs w:val="28"/>
          <w:rtl/>
        </w:rPr>
        <w:lastRenderedPageBreak/>
        <w:t>القضية.  في الواقع، قد يُعتبر تضمين فقرة تمنع الجولة الأوروبية للتعامل مع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إجراءً مضادًا للمنافسة، ومن المرجح أن تحتاج الجولة إلى إظهار الجوانب التنافسية المحددة للتحالف التي تجلب المزيد من الفوائد من الضرر الذي يمارس فيما يتعلق بـ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w:t>
      </w:r>
    </w:p>
    <w:p w14:paraId="5AFFD501" w14:textId="77777777" w:rsidR="0072520F" w:rsidRPr="0072520F" w:rsidRDefault="0072520F" w:rsidP="00373343">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من خلال التعامل مع ادعاءات المدعين فيما يتعلق بالمادة </w:t>
      </w:r>
      <w:r w:rsidRPr="0072520F">
        <w:rPr>
          <w:rFonts w:ascii="Simplified Arabic" w:hAnsi="Simplified Arabic" w:cs="Simplified Arabic"/>
          <w:sz w:val="28"/>
          <w:szCs w:val="28"/>
        </w:rPr>
        <w:t>2</w:t>
      </w:r>
      <w:r w:rsidRPr="0072520F">
        <w:rPr>
          <w:rFonts w:ascii="Simplified Arabic" w:hAnsi="Simplified Arabic" w:cs="Simplified Arabic"/>
          <w:sz w:val="28"/>
          <w:szCs w:val="28"/>
          <w:rtl/>
        </w:rPr>
        <w:t xml:space="preserve"> من قانون </w:t>
      </w:r>
      <w:proofErr w:type="spellStart"/>
      <w:r w:rsidRPr="0072520F">
        <w:rPr>
          <w:rFonts w:ascii="Simplified Arabic" w:hAnsi="Simplified Arabic" w:cs="Simplified Arabic"/>
          <w:sz w:val="28"/>
          <w:szCs w:val="28"/>
          <w:rtl/>
        </w:rPr>
        <w:t>شيرمان</w:t>
      </w:r>
      <w:proofErr w:type="spellEnd"/>
      <w:r w:rsidRPr="00B96506">
        <w:rPr>
          <w:rFonts w:ascii="Simplified Arabic" w:hAnsi="Simplified Arabic" w:cs="Simplified Arabic"/>
          <w:sz w:val="28"/>
          <w:szCs w:val="28"/>
          <w:vertAlign w:val="superscript"/>
          <w:rtl/>
        </w:rPr>
        <w:footnoteReference w:id="43"/>
      </w:r>
      <w:r w:rsidRPr="0072520F">
        <w:rPr>
          <w:rFonts w:ascii="Simplified Arabic" w:hAnsi="Simplified Arabic" w:cs="Simplified Arabic"/>
          <w:sz w:val="28"/>
          <w:szCs w:val="28"/>
          <w:rtl/>
        </w:rPr>
        <w:t xml:space="preserve"> ، تدعي الجولة بأنها:</w:t>
      </w:r>
    </w:p>
    <w:p w14:paraId="239B7C2E" w14:textId="6F1F22DF" w:rsidR="0072520F" w:rsidRPr="0072520F" w:rsidRDefault="00373343" w:rsidP="00373343">
      <w:pPr>
        <w:widowControl/>
        <w:adjustRightInd/>
        <w:spacing w:line="240" w:lineRule="auto"/>
        <w:jc w:val="left"/>
        <w:textAlignment w:val="auto"/>
        <w:rPr>
          <w:rFonts w:ascii="Simplified Arabic" w:hAnsi="Simplified Arabic" w:cs="Simplified Arabic"/>
          <w:sz w:val="28"/>
          <w:szCs w:val="28"/>
          <w:rtl/>
        </w:rPr>
      </w:pPr>
      <w:r>
        <w:rPr>
          <w:rFonts w:ascii="Simplified Arabic" w:hAnsi="Simplified Arabic" w:cs="Simplified Arabic" w:hint="cs"/>
          <w:sz w:val="28"/>
          <w:szCs w:val="28"/>
          <w:rtl/>
        </w:rPr>
        <w:t>1</w:t>
      </w:r>
      <w:r w:rsidR="0072520F" w:rsidRPr="0072520F">
        <w:rPr>
          <w:rFonts w:ascii="Simplified Arabic" w:hAnsi="Simplified Arabic" w:cs="Simplified Arabic"/>
          <w:sz w:val="28"/>
          <w:szCs w:val="28"/>
          <w:rtl/>
        </w:rPr>
        <w:t>) تفتقر إلى القوة الكافية ليتم تسميتها بالاحتكار.</w:t>
      </w:r>
    </w:p>
    <w:p w14:paraId="1EF7AB02" w14:textId="3FB3C87C" w:rsidR="0072520F" w:rsidRPr="0072520F" w:rsidRDefault="00373343" w:rsidP="00B96506">
      <w:pPr>
        <w:widowControl/>
        <w:adjustRightInd/>
        <w:spacing w:line="240" w:lineRule="auto"/>
        <w:jc w:val="left"/>
        <w:textAlignment w:val="auto"/>
        <w:rPr>
          <w:rFonts w:ascii="Simplified Arabic" w:hAnsi="Simplified Arabic" w:cs="Simplified Arabic"/>
          <w:sz w:val="28"/>
          <w:szCs w:val="28"/>
          <w:rtl/>
        </w:rPr>
      </w:pPr>
      <w:r>
        <w:rPr>
          <w:rFonts w:ascii="Simplified Arabic" w:hAnsi="Simplified Arabic" w:cs="Simplified Arabic" w:hint="cs"/>
          <w:sz w:val="28"/>
          <w:szCs w:val="28"/>
          <w:rtl/>
        </w:rPr>
        <w:t>2</w:t>
      </w:r>
      <w:r w:rsidR="0072520F" w:rsidRPr="0072520F">
        <w:rPr>
          <w:rFonts w:ascii="Simplified Arabic" w:hAnsi="Simplified Arabic" w:cs="Simplified Arabic"/>
          <w:sz w:val="28"/>
          <w:szCs w:val="28"/>
          <w:rtl/>
        </w:rPr>
        <w:t>) لوائحها هي نقاط تعاقدية مشروعة لا تعمل على تقييد المنافسة.</w:t>
      </w:r>
    </w:p>
    <w:p w14:paraId="1E682B58" w14:textId="42A2A22C" w:rsidR="0072520F" w:rsidRPr="0072520F" w:rsidRDefault="00373343" w:rsidP="00373343">
      <w:pPr>
        <w:widowControl/>
        <w:adjustRightInd/>
        <w:spacing w:line="240" w:lineRule="auto"/>
        <w:jc w:val="left"/>
        <w:textAlignment w:val="auto"/>
        <w:rPr>
          <w:rFonts w:ascii="Simplified Arabic" w:hAnsi="Simplified Arabic" w:cs="Simplified Arabic"/>
          <w:sz w:val="28"/>
          <w:szCs w:val="28"/>
          <w:rtl/>
        </w:rPr>
      </w:pPr>
      <w:r>
        <w:rPr>
          <w:rFonts w:ascii="Simplified Arabic" w:hAnsi="Simplified Arabic" w:cs="Simplified Arabic" w:hint="cs"/>
          <w:sz w:val="28"/>
          <w:szCs w:val="28"/>
          <w:rtl/>
        </w:rPr>
        <w:t>3</w:t>
      </w:r>
      <w:r w:rsidR="0072520F" w:rsidRPr="0072520F">
        <w:rPr>
          <w:rFonts w:ascii="Simplified Arabic" w:hAnsi="Simplified Arabic" w:cs="Simplified Arabic"/>
          <w:sz w:val="28"/>
          <w:szCs w:val="28"/>
          <w:rtl/>
        </w:rPr>
        <w:t>) تخدم اللوائح أغراضًا داعمة للمنافسة تفوق الضرر المحتمل للمنافسين.</w:t>
      </w:r>
    </w:p>
    <w:p w14:paraId="1D538A9D" w14:textId="77777777" w:rsidR="0072520F" w:rsidRPr="0072520F" w:rsidRDefault="0072520F" w:rsidP="00373343">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كذلك، أشارت الجولة بأن تصرفها لم يكن احتكارًا والدليل على ذلك هو دخول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الناجح للسوق، والقدرة على جذب لاعبي الجولة.  ومع ذلك، فإن المحكمة قد تكون مستعدة للنظر في عوامل إضافية مثل سلوك المدعى عليه وهيكل السوق في تحليلها لدفاع الجولة.  نظرًا لأن الحجة التي تم طرحها بواسطة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تستند بشدة على سلوك الجولة المانعة للمنافسة باستخدام قوتها، فمن المحتمل أن تظل مسألة احتكار الشراء مفتوحة لحين تحليل قاعدة تحكيم المنطق.</w:t>
      </w:r>
      <w:r w:rsidRPr="00B96506">
        <w:rPr>
          <w:rFonts w:ascii="Simplified Arabic" w:hAnsi="Simplified Arabic" w:cs="Simplified Arabic"/>
          <w:sz w:val="28"/>
          <w:szCs w:val="28"/>
          <w:vertAlign w:val="superscript"/>
          <w:rtl/>
        </w:rPr>
        <w:footnoteReference w:id="44"/>
      </w:r>
    </w:p>
    <w:p w14:paraId="28F972FE" w14:textId="77777777" w:rsidR="0072520F" w:rsidRPr="0072520F" w:rsidRDefault="0072520F" w:rsidP="00373343">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ناقشت الجولة كذلك بأن لوائحها لا تقيد المنافسة لأنها لا تحظر اللعب في جولات أخرى، بما في ذلك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فإن ما تفعله الجولة، بشروطها الخاصة، هو التصرف بناءً على خرق العقد من قبل اللاعبين </w:t>
      </w:r>
      <w:r w:rsidRPr="0072520F">
        <w:rPr>
          <w:rFonts w:ascii="Simplified Arabic" w:hAnsi="Simplified Arabic" w:cs="Simplified Arabic"/>
          <w:sz w:val="28"/>
          <w:szCs w:val="28"/>
          <w:rtl/>
        </w:rPr>
        <w:lastRenderedPageBreak/>
        <w:t xml:space="preserve">الذين قرروا اللعب في فعاليات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دون إذن الجولة.</w:t>
      </w:r>
      <w:r w:rsidRPr="00B96506">
        <w:rPr>
          <w:rFonts w:ascii="Simplified Arabic" w:hAnsi="Simplified Arabic" w:cs="Simplified Arabic"/>
          <w:sz w:val="28"/>
          <w:szCs w:val="28"/>
          <w:vertAlign w:val="superscript"/>
          <w:rtl/>
        </w:rPr>
        <w:footnoteReference w:id="45"/>
      </w:r>
      <w:r w:rsidRPr="0072520F">
        <w:rPr>
          <w:rFonts w:ascii="Simplified Arabic" w:hAnsi="Simplified Arabic" w:cs="Simplified Arabic"/>
          <w:sz w:val="28"/>
          <w:szCs w:val="28"/>
          <w:rtl/>
        </w:rPr>
        <w:t xml:space="preserve">  في الواقع، يمكن النظر إلى اللوائح التي وضعتها الجولة من منظور عقود الخدمة الحصرية المعترف بها جيدًا في مجال الأعمال.  قد يتم دعم حرية اللاعبين أيضًا من خلال حقيقة أن البعض قرر ترك الجولة بشكل تطوعي لصالح المزيد من فعاليات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المربحة دون عقاب من الجانب الاّخر.  ومع ذلك، قد يكون التعامل مع اللاعبين الباقين موضع تساؤل.  يمكن اعتبار حقيقة أن الجولة تمنح أذونات للاعبي الغولف للعب في جولات أخرى ولكن ليس في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التي يمكن اعتبارها أمرًا مقيّدًا ومضادًا للمنافسة. ومن ناحية أخرى، الغرض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هو حماية المنافسة ككل، وليس المنافسين المحددين .</w:t>
      </w:r>
      <w:r w:rsidRPr="00B96506">
        <w:rPr>
          <w:rFonts w:ascii="Simplified Arabic" w:hAnsi="Simplified Arabic" w:cs="Simplified Arabic"/>
          <w:sz w:val="28"/>
          <w:szCs w:val="28"/>
          <w:vertAlign w:val="superscript"/>
          <w:rtl/>
        </w:rPr>
        <w:footnoteReference w:id="46"/>
      </w:r>
      <w:r w:rsidRPr="0072520F">
        <w:rPr>
          <w:rFonts w:ascii="Simplified Arabic" w:hAnsi="Simplified Arabic" w:cs="Simplified Arabic"/>
          <w:sz w:val="28"/>
          <w:szCs w:val="28"/>
          <w:rtl/>
        </w:rPr>
        <w:t xml:space="preserve">  لذلك، فإن الموازنة بين الحقوق التعاقدية وإمكانية إساءة استخدام السلطة هو جانب مهم آخر يتعين على المحكمة معالجته في هذه القضية. و تدعي الجولة أيضًا أن اللوائح المذكورة بشكل عام مؤيدة للمنافسة.  تستند في ذلك إلى:</w:t>
      </w:r>
    </w:p>
    <w:p w14:paraId="04BD3878" w14:textId="322CA1D2" w:rsidR="0072520F" w:rsidRPr="0072520F" w:rsidRDefault="00373343" w:rsidP="00373343">
      <w:pPr>
        <w:widowControl/>
        <w:adjustRightInd/>
        <w:spacing w:line="240" w:lineRule="auto"/>
        <w:ind w:left="376" w:hanging="376"/>
        <w:jc w:val="lowKashida"/>
        <w:textAlignment w:val="auto"/>
        <w:rPr>
          <w:rFonts w:ascii="Simplified Arabic" w:hAnsi="Simplified Arabic" w:cs="Simplified Arabic"/>
          <w:sz w:val="28"/>
          <w:szCs w:val="28"/>
          <w:rtl/>
        </w:rPr>
      </w:pPr>
      <w:r>
        <w:rPr>
          <w:rFonts w:ascii="Simplified Arabic" w:hAnsi="Simplified Arabic" w:cs="Simplified Arabic" w:hint="cs"/>
          <w:sz w:val="28"/>
          <w:szCs w:val="28"/>
          <w:rtl/>
        </w:rPr>
        <w:t>1</w:t>
      </w:r>
      <w:r w:rsidR="0072520F" w:rsidRPr="0072520F">
        <w:rPr>
          <w:rFonts w:ascii="Simplified Arabic" w:hAnsi="Simplified Arabic" w:cs="Simplified Arabic"/>
          <w:sz w:val="28"/>
          <w:szCs w:val="28"/>
          <w:rtl/>
        </w:rPr>
        <w:t>. التعاملات الحصرية مع اللاعبين الذين يتم تشجيعهم على الترويج للجولة وليس للجولات الأخرى.</w:t>
      </w:r>
    </w:p>
    <w:p w14:paraId="6A2BFDED" w14:textId="7548D319" w:rsidR="0072520F" w:rsidRPr="0072520F" w:rsidRDefault="00373343" w:rsidP="00373343">
      <w:pPr>
        <w:widowControl/>
        <w:adjustRightInd/>
        <w:spacing w:line="240" w:lineRule="auto"/>
        <w:ind w:left="376" w:hanging="376"/>
        <w:jc w:val="lowKashida"/>
        <w:textAlignment w:val="auto"/>
        <w:rPr>
          <w:rFonts w:ascii="Simplified Arabic" w:hAnsi="Simplified Arabic" w:cs="Simplified Arabic"/>
          <w:sz w:val="28"/>
          <w:szCs w:val="28"/>
        </w:rPr>
      </w:pPr>
      <w:r>
        <w:rPr>
          <w:rFonts w:ascii="Simplified Arabic" w:hAnsi="Simplified Arabic" w:cs="Simplified Arabic" w:hint="cs"/>
          <w:sz w:val="28"/>
          <w:szCs w:val="28"/>
          <w:rtl/>
        </w:rPr>
        <w:t>2</w:t>
      </w:r>
      <w:r w:rsidR="0072520F" w:rsidRPr="0072520F">
        <w:rPr>
          <w:rFonts w:ascii="Simplified Arabic" w:hAnsi="Simplified Arabic" w:cs="Simplified Arabic"/>
          <w:sz w:val="28"/>
          <w:szCs w:val="28"/>
          <w:rtl/>
        </w:rPr>
        <w:t xml:space="preserve">) تجنب القيام بجولات أخرى بحرية على النظام الأساسي والسمعة الحالية للجولة مثل </w:t>
      </w:r>
      <w:r w:rsidR="0072520F" w:rsidRPr="0072520F">
        <w:rPr>
          <w:rFonts w:ascii="Simplified Arabic" w:hAnsi="Simplified Arabic" w:cs="Simplified Arabic"/>
          <w:sz w:val="28"/>
          <w:szCs w:val="28"/>
        </w:rPr>
        <w:t>LIV</w:t>
      </w:r>
      <w:r w:rsidR="0072520F" w:rsidRPr="0072520F">
        <w:rPr>
          <w:rFonts w:ascii="Simplified Arabic" w:hAnsi="Simplified Arabic" w:cs="Simplified Arabic"/>
          <w:sz w:val="28"/>
          <w:szCs w:val="28"/>
          <w:rtl/>
        </w:rPr>
        <w:t>.</w:t>
      </w:r>
      <w:r w:rsidR="0072520F" w:rsidRPr="00B96506">
        <w:rPr>
          <w:rFonts w:ascii="Simplified Arabic" w:hAnsi="Simplified Arabic" w:cs="Simplified Arabic"/>
          <w:sz w:val="28"/>
          <w:szCs w:val="28"/>
          <w:vertAlign w:val="superscript"/>
          <w:rtl/>
        </w:rPr>
        <w:footnoteReference w:id="47"/>
      </w:r>
    </w:p>
    <w:p w14:paraId="301D7711" w14:textId="77777777" w:rsidR="00373343" w:rsidRDefault="00373343" w:rsidP="00373343">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34B95EFD" w14:textId="05D74FCF" w:rsidR="0072520F" w:rsidRPr="0072520F" w:rsidRDefault="0072520F" w:rsidP="00B96506">
      <w:pPr>
        <w:widowControl/>
        <w:adjustRightInd/>
        <w:spacing w:line="240" w:lineRule="auto"/>
        <w:jc w:val="left"/>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lastRenderedPageBreak/>
        <w:t>5. الخاتمة والآثار المحتملة</w:t>
      </w:r>
    </w:p>
    <w:p w14:paraId="467DED58" w14:textId="77777777" w:rsidR="0072520F" w:rsidRPr="0072520F" w:rsidRDefault="0072520F" w:rsidP="00373343">
      <w:pPr>
        <w:widowControl/>
        <w:adjustRightInd/>
        <w:spacing w:line="240" w:lineRule="auto"/>
        <w:ind w:firstLine="567"/>
        <w:jc w:val="lowKashida"/>
        <w:textAlignment w:val="auto"/>
        <w:rPr>
          <w:rFonts w:ascii="Simplified Arabic" w:eastAsia="Calibri" w:hAnsi="Simplified Arabic" w:cs="Simplified Arabic"/>
          <w:sz w:val="28"/>
          <w:szCs w:val="28"/>
        </w:rPr>
      </w:pPr>
      <w:r w:rsidRPr="0072520F">
        <w:rPr>
          <w:rFonts w:ascii="Simplified Arabic" w:hAnsi="Simplified Arabic" w:cs="Simplified Arabic"/>
          <w:sz w:val="28"/>
          <w:szCs w:val="28"/>
          <w:rtl/>
        </w:rPr>
        <w:t>أدت القضية المرفوعة ضد 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إلى تنشيط قضية مكافحة الاحتكار في الرياضات الاحترافية.  بل أنها مثيرة </w:t>
      </w:r>
      <w:proofErr w:type="spellStart"/>
      <w:r w:rsidRPr="0072520F">
        <w:rPr>
          <w:rFonts w:ascii="Simplified Arabic" w:hAnsi="Simplified Arabic" w:cs="Simplified Arabic"/>
          <w:sz w:val="28"/>
          <w:szCs w:val="28"/>
          <w:rtl/>
        </w:rPr>
        <w:t>للإهتمام</w:t>
      </w:r>
      <w:proofErr w:type="spellEnd"/>
      <w:r w:rsidRPr="0072520F">
        <w:rPr>
          <w:rFonts w:ascii="Simplified Arabic" w:hAnsi="Simplified Arabic" w:cs="Simplified Arabic"/>
          <w:sz w:val="28"/>
          <w:szCs w:val="28"/>
          <w:rtl/>
        </w:rPr>
        <w:t xml:space="preserve"> بشكل أكبر لأن لعبة الغولف المحترفة من خلال جولة </w:t>
      </w:r>
      <w:r w:rsidRPr="0072520F">
        <w:rPr>
          <w:rFonts w:ascii="Simplified Arabic" w:hAnsi="Simplified Arabic" w:cs="Simplified Arabic"/>
          <w:sz w:val="28"/>
          <w:szCs w:val="28"/>
        </w:rPr>
        <w:t>PGA</w:t>
      </w:r>
      <w:r w:rsidRPr="0072520F">
        <w:rPr>
          <w:rFonts w:ascii="Simplified Arabic" w:hAnsi="Simplified Arabic" w:cs="Simplified Arabic"/>
          <w:sz w:val="28"/>
          <w:szCs w:val="28"/>
          <w:rtl/>
        </w:rPr>
        <w:t xml:space="preserve">  ظلت حتى الآن دون منازع من خلال دعاوى مكافحة الاحتكار على عكس البطولات الرياضية الكبرى الأخرى. إذ لم تتحقق قضية </w:t>
      </w:r>
      <w:r w:rsidRPr="0072520F">
        <w:rPr>
          <w:rFonts w:ascii="Simplified Arabic" w:hAnsi="Simplified Arabic" w:cs="Simplified Arabic"/>
          <w:sz w:val="28"/>
          <w:szCs w:val="28"/>
        </w:rPr>
        <w:t>FTC 1994</w:t>
      </w:r>
      <w:r w:rsidRPr="0072520F">
        <w:rPr>
          <w:rFonts w:ascii="Simplified Arabic" w:hAnsi="Simplified Arabic" w:cs="Simplified Arabic"/>
          <w:sz w:val="28"/>
          <w:szCs w:val="28"/>
          <w:rtl/>
        </w:rPr>
        <w:t xml:space="preserve"> أي نجاح </w:t>
      </w:r>
      <w:proofErr w:type="spellStart"/>
      <w:r w:rsidRPr="0072520F">
        <w:rPr>
          <w:rFonts w:ascii="Simplified Arabic" w:hAnsi="Simplified Arabic" w:cs="Simplified Arabic"/>
          <w:sz w:val="28"/>
          <w:szCs w:val="28"/>
          <w:rtl/>
        </w:rPr>
        <w:t>يذكربسبب</w:t>
      </w:r>
      <w:proofErr w:type="spellEnd"/>
      <w:r w:rsidRPr="0072520F">
        <w:rPr>
          <w:rFonts w:ascii="Simplified Arabic" w:hAnsi="Simplified Arabic" w:cs="Simplified Arabic"/>
          <w:sz w:val="28"/>
          <w:szCs w:val="28"/>
          <w:rtl/>
        </w:rPr>
        <w:t xml:space="preserve"> الضغط المالي و السياسي، على الرغم من أنه يمكن القول إن الجولة تواجه الآن خصمًا ضخمًا لديه موارد كافية لتحدي احتكار الجولة عبر العديد من نقاط الإطار القانوني لمكافحة الاحتكار في الولايات المتحدة.</w:t>
      </w:r>
    </w:p>
    <w:p w14:paraId="68073636" w14:textId="77777777" w:rsidR="0072520F" w:rsidRPr="0072520F" w:rsidRDefault="0072520F" w:rsidP="00373343">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من منظورٍ قانوني، تقدم القضية عددًا من النقاط المثيرة للاهتمام التي يمكن للمحكمة أن تتعامل معها.  أحد الأسئلة التي يجب مراعاتها هو ما إذا كان يمكن اعتبار الجولة احتكارًا للشراء للأغراض القانونية.  بينما تمكنت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من دخول سوق فعاليات الغولف الاحترافي، يمكن القول إنها فعلت ذلك فقط بسبب قوتها المالية الهائلة.  يجب أن نتذكر أن المشاركين في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xml:space="preserve">) لا يزالون لا يتلقون النقاط في التصنيف الدولي، ويرجع ذلك في الغالب إلى عدم تمكنهم من تأمين احتساب ذلك مع الجولة الأوروبية بعد أن تدخلت الجولة في مفاوضاتهم.  وفقًا لذلك، سيتم التحقيق في إنشاء تحالف الجولة مع الجولة الأوروبية من خلال القسم الأول من قانون </w:t>
      </w:r>
      <w:proofErr w:type="spellStart"/>
      <w:r w:rsidRPr="0072520F">
        <w:rPr>
          <w:rFonts w:ascii="Simplified Arabic" w:hAnsi="Simplified Arabic" w:cs="Simplified Arabic"/>
          <w:sz w:val="28"/>
          <w:szCs w:val="28"/>
          <w:rtl/>
        </w:rPr>
        <w:t>شيرمان</w:t>
      </w:r>
      <w:proofErr w:type="spellEnd"/>
      <w:r w:rsidRPr="0072520F">
        <w:rPr>
          <w:rFonts w:ascii="Simplified Arabic" w:hAnsi="Simplified Arabic" w:cs="Simplified Arabic"/>
          <w:sz w:val="28"/>
          <w:szCs w:val="28"/>
          <w:rtl/>
        </w:rPr>
        <w:t xml:space="preserve"> ، وسوف يناقش الطرفان ما إذا كان لديه أي أسباب مؤيدة للمنافسة باستثناء تقييد جولة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وربما المنافسين المستقبليين.</w:t>
      </w:r>
    </w:p>
    <w:p w14:paraId="77B7AF5F" w14:textId="77777777" w:rsidR="0072520F" w:rsidRPr="0072520F" w:rsidRDefault="0072520F" w:rsidP="00373343">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 xml:space="preserve">هناك نقطة رئيسية أخرى من المفترض أن تؤخذ في عين الاعتبار وهي الأنظمة المفروضة على اللاعبين من قبل الجولة.  و من شبه المؤكد أن تستخدم المحكمة قاعدة تحكيم المنطق لتقرير ما إذا كانت الأنظمة تمثل </w:t>
      </w:r>
      <w:r w:rsidRPr="0072520F">
        <w:rPr>
          <w:rFonts w:ascii="Simplified Arabic" w:hAnsi="Simplified Arabic" w:cs="Simplified Arabic"/>
          <w:sz w:val="28"/>
          <w:szCs w:val="28"/>
          <w:rtl/>
        </w:rPr>
        <w:lastRenderedPageBreak/>
        <w:t>ممارسات حماية تجارية مشروعة أو قيودًا غير ضرورية على اللاعبين كمقاولين مستقلين. كما اقترحت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أن نهجها المتمثل في المدفوعات المضمونة لجميع المشاركين في الجولات والحفاظ على حقوق الإعلان الخاصة من قبل اللاعبين أكثر تنافسية من أنظمة الجولة التي تضمن حقوق الوسائط والرعاية. كما وسيتعين على المحكمة أن تقرر ما إذا كان هذا  أكثر تنافسية من الآليات القائمة.  هنا، ربما، سيتم تحميل (</w:t>
      </w:r>
      <w:r w:rsidRPr="0072520F">
        <w:rPr>
          <w:rFonts w:ascii="Simplified Arabic" w:hAnsi="Simplified Arabic" w:cs="Simplified Arabic"/>
          <w:sz w:val="28"/>
          <w:szCs w:val="28"/>
        </w:rPr>
        <w:t>LIV</w:t>
      </w:r>
      <w:r w:rsidRPr="0072520F">
        <w:rPr>
          <w:rFonts w:ascii="Simplified Arabic" w:hAnsi="Simplified Arabic" w:cs="Simplified Arabic"/>
          <w:sz w:val="28"/>
          <w:szCs w:val="28"/>
          <w:rtl/>
        </w:rPr>
        <w:t>) عبء إظهار أن نموذجها مستدام مالياً، وهو أمر أكدته الجولة بقوة.</w:t>
      </w:r>
    </w:p>
    <w:p w14:paraId="5CCFD615" w14:textId="77777777" w:rsidR="0072520F" w:rsidRPr="0072520F" w:rsidRDefault="0072520F" w:rsidP="00373343">
      <w:pPr>
        <w:widowControl/>
        <w:adjustRightInd/>
        <w:spacing w:line="240" w:lineRule="auto"/>
        <w:ind w:firstLine="567"/>
        <w:jc w:val="lowKashida"/>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t>من المؤكد أن النقاط المذكورة أعلاه سيكون لها آثار بعيدة المدى بغض النظر عن قرار المحكمة.  على وجه التحديد ، من المرجح أن تؤثر على الطرق التي تعامل بها المحاكم مع التحالفات في الرياضة ، وتوازن الالتزامات التعاقدية المستقلة، وإلى أي مدى يمكن أن تصبح الصورة العامة مؤثرة ، ونتيجة لذلك ، سيتم استخدامها في مكافحة الاحتكار في المستقبل.  وأخيرًا ، تختلف لعبة الغولف إلى حد ما عن منافسات الفرق في البطولات الرياضية الكبرى لأنها رياضة منافسة فردية.  فلا يزال يتعين اكتشاف ما إذا كانت قراراتها يمكن استقراءها للمنظمات التي تدير مسابقات الأندية وإلى أي مدى.</w:t>
      </w:r>
    </w:p>
    <w:p w14:paraId="2C54C629" w14:textId="77777777" w:rsidR="0072520F" w:rsidRPr="0072520F" w:rsidRDefault="0072520F" w:rsidP="00B96506">
      <w:pPr>
        <w:widowControl/>
        <w:bidi w:val="0"/>
        <w:adjustRightInd/>
        <w:spacing w:line="240" w:lineRule="auto"/>
        <w:jc w:val="left"/>
        <w:textAlignment w:val="auto"/>
        <w:rPr>
          <w:rFonts w:ascii="Simplified Arabic" w:hAnsi="Simplified Arabic" w:cs="Simplified Arabic"/>
          <w:sz w:val="28"/>
          <w:szCs w:val="28"/>
          <w:rtl/>
        </w:rPr>
      </w:pPr>
      <w:r w:rsidRPr="0072520F">
        <w:rPr>
          <w:rFonts w:ascii="Simplified Arabic" w:hAnsi="Simplified Arabic" w:cs="Simplified Arabic"/>
          <w:sz w:val="28"/>
          <w:szCs w:val="28"/>
          <w:rtl/>
        </w:rPr>
        <w:br w:type="page"/>
      </w:r>
    </w:p>
    <w:p w14:paraId="60AEE368" w14:textId="77777777" w:rsidR="0072520F" w:rsidRPr="0072520F" w:rsidRDefault="0072520F" w:rsidP="00B96506">
      <w:pPr>
        <w:widowControl/>
        <w:adjustRightInd/>
        <w:spacing w:line="240" w:lineRule="auto"/>
        <w:jc w:val="center"/>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lastRenderedPageBreak/>
        <w:t>قائمة المراجع باللغة العربية</w:t>
      </w:r>
    </w:p>
    <w:p w14:paraId="30570677" w14:textId="77777777" w:rsidR="0072520F" w:rsidRPr="0072520F" w:rsidRDefault="0072520F" w:rsidP="00373343">
      <w:pPr>
        <w:widowControl/>
        <w:adjustRightInd/>
        <w:spacing w:line="240" w:lineRule="auto"/>
        <w:ind w:left="709" w:hanging="709"/>
        <w:jc w:val="lowKashida"/>
        <w:textAlignment w:val="auto"/>
        <w:rPr>
          <w:rFonts w:ascii="Simplified Arabic" w:eastAsia="Calibri" w:hAnsi="Simplified Arabic" w:cs="Simplified Arabic"/>
          <w:sz w:val="28"/>
          <w:szCs w:val="28"/>
          <w:rtl/>
        </w:rPr>
      </w:pPr>
      <w:r w:rsidRPr="0072520F">
        <w:rPr>
          <w:rFonts w:ascii="Simplified Arabic" w:eastAsia="Calibri" w:hAnsi="Simplified Arabic" w:cs="Simplified Arabic"/>
          <w:color w:val="222222"/>
          <w:sz w:val="28"/>
          <w:szCs w:val="28"/>
          <w:rtl/>
        </w:rPr>
        <w:t xml:space="preserve">د. إحسان عواد، المنازعات الرياضية المنظورة لدى محكمة التحكيم الرياضي وضمان الاستقلالية </w:t>
      </w:r>
      <w:r w:rsidRPr="0072520F">
        <w:rPr>
          <w:rFonts w:ascii="Simplified Arabic" w:eastAsia="Calibri" w:hAnsi="Simplified Arabic" w:cs="Simplified Arabic"/>
          <w:sz w:val="28"/>
          <w:szCs w:val="28"/>
          <w:rtl/>
        </w:rPr>
        <w:t>والموضوعية لقراراتها، مجلة علوم الرياضة- جامعة ديالى، مجلد 9 عدد28 (2017)</w:t>
      </w:r>
    </w:p>
    <w:p w14:paraId="159FDC79" w14:textId="77777777" w:rsidR="0072520F" w:rsidRPr="0072520F" w:rsidRDefault="0072520F" w:rsidP="00373343">
      <w:pPr>
        <w:widowControl/>
        <w:adjustRightInd/>
        <w:spacing w:line="240" w:lineRule="auto"/>
        <w:ind w:left="709" w:hanging="709"/>
        <w:jc w:val="lowKashida"/>
        <w:textAlignment w:val="auto"/>
        <w:rPr>
          <w:rFonts w:ascii="Simplified Arabic" w:hAnsi="Simplified Arabic" w:cs="Simplified Arabic"/>
          <w:b/>
          <w:bCs/>
          <w:sz w:val="28"/>
          <w:szCs w:val="28"/>
          <w:rtl/>
        </w:rPr>
      </w:pPr>
      <w:proofErr w:type="spellStart"/>
      <w:r w:rsidRPr="0072520F">
        <w:rPr>
          <w:rFonts w:ascii="Simplified Arabic" w:eastAsia="Calibri" w:hAnsi="Simplified Arabic" w:cs="Simplified Arabic"/>
          <w:sz w:val="28"/>
          <w:szCs w:val="28"/>
          <w:rtl/>
        </w:rPr>
        <w:t>د.هيثم</w:t>
      </w:r>
      <w:proofErr w:type="spellEnd"/>
      <w:r w:rsidRPr="0072520F">
        <w:rPr>
          <w:rFonts w:ascii="Simplified Arabic" w:eastAsia="Calibri" w:hAnsi="Simplified Arabic" w:cs="Simplified Arabic"/>
          <w:sz w:val="28"/>
          <w:szCs w:val="28"/>
          <w:rtl/>
        </w:rPr>
        <w:t xml:space="preserve"> المصاروة و د. عمار الرفاعي، إنهاء عقد </w:t>
      </w:r>
      <w:proofErr w:type="spellStart"/>
      <w:r w:rsidRPr="0072520F">
        <w:rPr>
          <w:rFonts w:ascii="Simplified Arabic" w:eastAsia="Calibri" w:hAnsi="Simplified Arabic" w:cs="Simplified Arabic"/>
          <w:sz w:val="28"/>
          <w:szCs w:val="28"/>
          <w:rtl/>
        </w:rPr>
        <w:t>إحتراف</w:t>
      </w:r>
      <w:proofErr w:type="spellEnd"/>
      <w:r w:rsidRPr="0072520F">
        <w:rPr>
          <w:rFonts w:ascii="Simplified Arabic" w:eastAsia="Calibri" w:hAnsi="Simplified Arabic" w:cs="Simplified Arabic"/>
          <w:sz w:val="28"/>
          <w:szCs w:val="28"/>
          <w:rtl/>
        </w:rPr>
        <w:t xml:space="preserve"> لاعب كرة القدم بالإرادة المنفردة، مجلة العلوم القانونية – جامعة عجمان، السنة 3 العدد 6 (2017) </w:t>
      </w:r>
    </w:p>
    <w:p w14:paraId="30D9CE3F" w14:textId="77777777" w:rsidR="0072520F" w:rsidRPr="0072520F" w:rsidRDefault="0072520F" w:rsidP="00B96506">
      <w:pPr>
        <w:widowControl/>
        <w:adjustRightInd/>
        <w:spacing w:line="240" w:lineRule="auto"/>
        <w:jc w:val="center"/>
        <w:textAlignment w:val="auto"/>
        <w:rPr>
          <w:b/>
          <w:bCs/>
          <w:sz w:val="28"/>
          <w:szCs w:val="28"/>
          <w:rtl/>
        </w:rPr>
      </w:pPr>
      <w:r w:rsidRPr="0072520F">
        <w:rPr>
          <w:rFonts w:hint="cs"/>
          <w:b/>
          <w:bCs/>
          <w:sz w:val="28"/>
          <w:szCs w:val="28"/>
          <w:rtl/>
        </w:rPr>
        <w:t>قائمة المراجع باللغة الإنجليزية</w:t>
      </w:r>
    </w:p>
    <w:p w14:paraId="2ECA1AE2"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proofErr w:type="spellStart"/>
      <w:r w:rsidRPr="0072520F">
        <w:rPr>
          <w:sz w:val="28"/>
          <w:szCs w:val="28"/>
        </w:rPr>
        <w:t>Areeda</w:t>
      </w:r>
      <w:proofErr w:type="spellEnd"/>
      <w:r w:rsidRPr="0072520F">
        <w:rPr>
          <w:sz w:val="28"/>
          <w:szCs w:val="28"/>
        </w:rPr>
        <w:t xml:space="preserve">, P, and H </w:t>
      </w:r>
      <w:proofErr w:type="spellStart"/>
      <w:r w:rsidRPr="0072520F">
        <w:rPr>
          <w:sz w:val="28"/>
          <w:szCs w:val="28"/>
        </w:rPr>
        <w:t>Hovenkamp</w:t>
      </w:r>
      <w:proofErr w:type="spellEnd"/>
      <w:r w:rsidRPr="0072520F">
        <w:rPr>
          <w:sz w:val="28"/>
          <w:szCs w:val="28"/>
        </w:rPr>
        <w:t xml:space="preserve">. Antitrust Law: An Analysis of Antitrust Principles and their Application. 4th. </w:t>
      </w:r>
      <w:proofErr w:type="spellStart"/>
      <w:r w:rsidRPr="0072520F">
        <w:rPr>
          <w:sz w:val="28"/>
          <w:szCs w:val="28"/>
        </w:rPr>
        <w:t>Wolters</w:t>
      </w:r>
      <w:proofErr w:type="spellEnd"/>
      <w:r w:rsidRPr="0072520F">
        <w:rPr>
          <w:sz w:val="28"/>
          <w:szCs w:val="28"/>
        </w:rPr>
        <w:t xml:space="preserve"> Kluwer, 2014</w:t>
      </w:r>
      <w:r w:rsidRPr="0072520F">
        <w:rPr>
          <w:sz w:val="28"/>
          <w:szCs w:val="28"/>
          <w:rtl/>
        </w:rPr>
        <w:t>.</w:t>
      </w:r>
    </w:p>
    <w:p w14:paraId="1A761B55"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proofErr w:type="spellStart"/>
      <w:r w:rsidRPr="0072520F">
        <w:rPr>
          <w:sz w:val="28"/>
          <w:szCs w:val="28"/>
        </w:rPr>
        <w:t>Beall</w:t>
      </w:r>
      <w:proofErr w:type="spellEnd"/>
      <w:r w:rsidRPr="0072520F">
        <w:rPr>
          <w:sz w:val="28"/>
          <w:szCs w:val="28"/>
        </w:rPr>
        <w:t>, J. The LIV Golf series: What we know, what we don’t, and the massive ramifications of the Saudi-backed league. June 8, 2022. https://www.golfdigest.com/story/saudi-golf-league-2022-primer</w:t>
      </w:r>
      <w:r w:rsidRPr="0072520F">
        <w:rPr>
          <w:sz w:val="28"/>
          <w:szCs w:val="28"/>
          <w:rtl/>
        </w:rPr>
        <w:t>.</w:t>
      </w:r>
    </w:p>
    <w:p w14:paraId="40034D71"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Carrier, M A. "The Rule of Reason: An Empirical Update for the 21st Century." George Mason Law Review 16 (2009): 827-837</w:t>
      </w:r>
      <w:r w:rsidRPr="0072520F">
        <w:rPr>
          <w:sz w:val="28"/>
          <w:szCs w:val="28"/>
          <w:rtl/>
        </w:rPr>
        <w:t>.</w:t>
      </w:r>
    </w:p>
    <w:p w14:paraId="59BEBF6A"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Edelman, Marc. "A Short Treatise on Amateurism and Antitrust Law: Why the NCAA's No-Pay Rule Violate Section 1 of the Sherman Act." Western Reserve Law Review 1 (2013): 61-99</w:t>
      </w:r>
      <w:r w:rsidRPr="0072520F">
        <w:rPr>
          <w:sz w:val="28"/>
          <w:szCs w:val="28"/>
          <w:rtl/>
        </w:rPr>
        <w:t>.</w:t>
      </w:r>
    </w:p>
    <w:p w14:paraId="05C23DC6"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Edelman, Marc. "Upon Further Review: Will the NFL’s Trademark Licensing Practices Survive Full Antitrust Scrutiny? The Remand of American Needle v. National football League." Stanford Journal of Law, Business and Finance 16 (2011): 183-203</w:t>
      </w:r>
      <w:r w:rsidRPr="0072520F">
        <w:rPr>
          <w:sz w:val="28"/>
          <w:szCs w:val="28"/>
          <w:rtl/>
        </w:rPr>
        <w:t>.</w:t>
      </w:r>
    </w:p>
    <w:p w14:paraId="07C87680"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lastRenderedPageBreak/>
        <w:t>El-</w:t>
      </w:r>
      <w:proofErr w:type="spellStart"/>
      <w:r w:rsidRPr="0072520F">
        <w:rPr>
          <w:sz w:val="28"/>
          <w:szCs w:val="28"/>
        </w:rPr>
        <w:t>Hodiri</w:t>
      </w:r>
      <w:proofErr w:type="spellEnd"/>
      <w:r w:rsidRPr="0072520F">
        <w:rPr>
          <w:sz w:val="28"/>
          <w:szCs w:val="28"/>
        </w:rPr>
        <w:t>, M, and J Quirk. "An Economic Model of a Professional Sports League." Journal of Political Economy 79, no. 6 (1971): 1302-1319</w:t>
      </w:r>
      <w:r w:rsidRPr="0072520F">
        <w:rPr>
          <w:sz w:val="28"/>
          <w:szCs w:val="28"/>
          <w:rtl/>
        </w:rPr>
        <w:t>.</w:t>
      </w:r>
    </w:p>
    <w:p w14:paraId="3076CE5D"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proofErr w:type="spellStart"/>
      <w:r w:rsidRPr="0072520F">
        <w:rPr>
          <w:sz w:val="28"/>
          <w:szCs w:val="28"/>
        </w:rPr>
        <w:t>Farzin</w:t>
      </w:r>
      <w:proofErr w:type="spellEnd"/>
      <w:r w:rsidRPr="0072520F">
        <w:rPr>
          <w:sz w:val="28"/>
          <w:szCs w:val="28"/>
        </w:rPr>
        <w:t xml:space="preserve">, Leah. "On the Antitrust Exemption for Professional Sports in the United States and Europe." Jeffrey S. </w:t>
      </w:r>
      <w:proofErr w:type="spellStart"/>
      <w:r w:rsidRPr="0072520F">
        <w:rPr>
          <w:sz w:val="28"/>
          <w:szCs w:val="28"/>
        </w:rPr>
        <w:t>Moorad</w:t>
      </w:r>
      <w:proofErr w:type="spellEnd"/>
      <w:r w:rsidRPr="0072520F">
        <w:rPr>
          <w:sz w:val="28"/>
          <w:szCs w:val="28"/>
        </w:rPr>
        <w:t xml:space="preserve"> Sports Law Journal 22, no. 1 (2015): 75-108</w:t>
      </w:r>
      <w:r w:rsidRPr="0072520F">
        <w:rPr>
          <w:sz w:val="28"/>
          <w:szCs w:val="28"/>
          <w:rtl/>
        </w:rPr>
        <w:t>.</w:t>
      </w:r>
    </w:p>
    <w:p w14:paraId="58D792A9"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Herrington, R. PGA Tour, European Tour announce formation of a strategic alliance. November 27, 2020. https://www.golfdigest.com/story/pga-tour-and-european-tour-announce-strategic-alliance</w:t>
      </w:r>
      <w:r w:rsidRPr="0072520F">
        <w:rPr>
          <w:sz w:val="28"/>
          <w:szCs w:val="28"/>
          <w:rtl/>
        </w:rPr>
        <w:t>.</w:t>
      </w:r>
    </w:p>
    <w:p w14:paraId="6122452B"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 xml:space="preserve">Humphries, Brad, and H </w:t>
      </w:r>
      <w:proofErr w:type="spellStart"/>
      <w:r w:rsidRPr="0072520F">
        <w:rPr>
          <w:sz w:val="28"/>
          <w:szCs w:val="28"/>
        </w:rPr>
        <w:t>Pyun</w:t>
      </w:r>
      <w:proofErr w:type="spellEnd"/>
      <w:r w:rsidRPr="0072520F">
        <w:rPr>
          <w:sz w:val="28"/>
          <w:szCs w:val="28"/>
        </w:rPr>
        <w:t>. "Monopsony Exploitation in Professional Sport: Evidence from Major League Baseball Position Players, 2000-2011: Monopsony Exploitation in Professional Sport." Managerial and Decision Economics 38, no. 5 (2016)</w:t>
      </w:r>
      <w:r w:rsidRPr="0072520F">
        <w:rPr>
          <w:sz w:val="28"/>
          <w:szCs w:val="28"/>
          <w:rtl/>
        </w:rPr>
        <w:t>.</w:t>
      </w:r>
    </w:p>
    <w:p w14:paraId="7AC47269"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Jacobs, M S. "Professional Sports Leagues, Antitrust, and the Single-Entity Theory: A Defense of the Status Quo." Indiana Law Journal 67, no. 1 (1991): 25-58</w:t>
      </w:r>
      <w:r w:rsidRPr="0072520F">
        <w:rPr>
          <w:sz w:val="28"/>
          <w:szCs w:val="28"/>
          <w:rtl/>
        </w:rPr>
        <w:t>.</w:t>
      </w:r>
    </w:p>
    <w:p w14:paraId="5D6626A5"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proofErr w:type="spellStart"/>
      <w:r w:rsidRPr="0072520F">
        <w:rPr>
          <w:sz w:val="28"/>
          <w:szCs w:val="28"/>
        </w:rPr>
        <w:t>Maese</w:t>
      </w:r>
      <w:proofErr w:type="spellEnd"/>
      <w:r w:rsidRPr="0072520F">
        <w:rPr>
          <w:sz w:val="28"/>
          <w:szCs w:val="28"/>
        </w:rPr>
        <w:t>, Rick. LIV Golf joins its players in lawsuit, intensifying feud with PGA Tour. August 28, 2022. https://www.washingtonpost.com/sports/2022/08/28/liv-golf-antitrust-lawsuit</w:t>
      </w:r>
      <w:r w:rsidRPr="0072520F">
        <w:rPr>
          <w:sz w:val="28"/>
          <w:szCs w:val="28"/>
          <w:rtl/>
        </w:rPr>
        <w:t>/.</w:t>
      </w:r>
    </w:p>
    <w:p w14:paraId="32E57590"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PGA Tour, Inc. "Return of organization exempt from income tax, form 990." IRS. 2021. http://thf_media.s3.amazonaws.com/2022/pga_2020_990.pdf</w:t>
      </w:r>
      <w:r w:rsidRPr="0072520F">
        <w:rPr>
          <w:sz w:val="28"/>
          <w:szCs w:val="28"/>
          <w:rtl/>
        </w:rPr>
        <w:t>.</w:t>
      </w:r>
    </w:p>
    <w:p w14:paraId="27DBE530"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proofErr w:type="spellStart"/>
      <w:r w:rsidRPr="0072520F">
        <w:rPr>
          <w:sz w:val="28"/>
          <w:szCs w:val="28"/>
        </w:rPr>
        <w:t>Pingue</w:t>
      </w:r>
      <w:proofErr w:type="spellEnd"/>
      <w:r w:rsidRPr="0072520F">
        <w:rPr>
          <w:sz w:val="28"/>
          <w:szCs w:val="28"/>
        </w:rPr>
        <w:t>, F. PGA Tour threatens 'disciplinary action' ahead of LIV opener. June 1, 2022. https://www.reuters.com/lifestyle/sports/pga-</w:t>
      </w:r>
      <w:r w:rsidRPr="0072520F">
        <w:rPr>
          <w:sz w:val="28"/>
          <w:szCs w:val="28"/>
        </w:rPr>
        <w:lastRenderedPageBreak/>
        <w:t>tour-threatens-disciplinary-action-ahead-liv-opener-2022-06-01</w:t>
      </w:r>
      <w:r w:rsidRPr="0072520F">
        <w:rPr>
          <w:sz w:val="28"/>
          <w:szCs w:val="28"/>
          <w:rtl/>
        </w:rPr>
        <w:t>/.</w:t>
      </w:r>
    </w:p>
    <w:p w14:paraId="39F42E0A"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Ross, S F, and S Szymanski. "Antitrust and Inefficient Joint Ventures: Sports Leagues Should Look More Like McDonald’s and Less Like the United Nations." Marquette Sports Law Review 16, no. 2 (2006): 214-259</w:t>
      </w:r>
      <w:r w:rsidRPr="0072520F">
        <w:rPr>
          <w:sz w:val="28"/>
          <w:szCs w:val="28"/>
          <w:rtl/>
        </w:rPr>
        <w:t>.</w:t>
      </w:r>
    </w:p>
    <w:p w14:paraId="67971A09"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proofErr w:type="spellStart"/>
      <w:r w:rsidRPr="0072520F">
        <w:rPr>
          <w:sz w:val="28"/>
          <w:szCs w:val="28"/>
        </w:rPr>
        <w:t>Shipnuck</w:t>
      </w:r>
      <w:proofErr w:type="spellEnd"/>
      <w:r w:rsidRPr="0072520F">
        <w:rPr>
          <w:sz w:val="28"/>
          <w:szCs w:val="28"/>
        </w:rPr>
        <w:t>, Alan. An inside look at how the money works on LIV Golf. July 2, 2022. https://www.golfdigest.com/story/an-inside-look-at-how-the-money-works-on-liv-golf-phil-mickelson-brooks-koepka</w:t>
      </w:r>
      <w:r w:rsidRPr="0072520F">
        <w:rPr>
          <w:sz w:val="28"/>
          <w:szCs w:val="28"/>
          <w:rtl/>
        </w:rPr>
        <w:t>.</w:t>
      </w:r>
    </w:p>
    <w:p w14:paraId="2ACEB465"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Stebbins, Jack. Justice Department’s antitrust investigation of PGA Tour includes U.S. Golf Association. October 26, 2022. https://www.cnbc.com/2022/10/26/justice-departments-antitrust-investigation-of-pga-tour-includes-usga.html</w:t>
      </w:r>
      <w:r w:rsidRPr="0072520F">
        <w:rPr>
          <w:sz w:val="28"/>
          <w:szCs w:val="28"/>
          <w:rtl/>
        </w:rPr>
        <w:t>.</w:t>
      </w:r>
    </w:p>
    <w:p w14:paraId="56EB5A76"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US Department of Justice. "Competition and monopoly: single-firm conduct under Section 2 of the Sherman's Act." 2008</w:t>
      </w:r>
      <w:r w:rsidRPr="0072520F">
        <w:rPr>
          <w:sz w:val="28"/>
          <w:szCs w:val="28"/>
          <w:rtl/>
        </w:rPr>
        <w:t>.</w:t>
      </w:r>
    </w:p>
    <w:p w14:paraId="1DFA3D8E"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r w:rsidRPr="0072520F">
        <w:rPr>
          <w:sz w:val="28"/>
          <w:szCs w:val="28"/>
        </w:rPr>
        <w:t xml:space="preserve">van Rompuy, Ben. "Antitrust challenges to sports governance: EU and US perspectives." In Handbook on International Sports Law, by J </w:t>
      </w:r>
      <w:proofErr w:type="spellStart"/>
      <w:r w:rsidRPr="0072520F">
        <w:rPr>
          <w:sz w:val="28"/>
          <w:szCs w:val="28"/>
        </w:rPr>
        <w:t>Nafziger</w:t>
      </w:r>
      <w:proofErr w:type="spellEnd"/>
      <w:r w:rsidRPr="0072520F">
        <w:rPr>
          <w:sz w:val="28"/>
          <w:szCs w:val="28"/>
        </w:rPr>
        <w:t xml:space="preserve"> and R Gauthier, 423-455. Northampton: Edward Elgar, 2022</w:t>
      </w:r>
      <w:r w:rsidRPr="0072520F">
        <w:rPr>
          <w:sz w:val="28"/>
          <w:szCs w:val="28"/>
          <w:rtl/>
        </w:rPr>
        <w:t>.</w:t>
      </w:r>
    </w:p>
    <w:p w14:paraId="24183E83" w14:textId="77777777" w:rsidR="0072520F" w:rsidRPr="0072520F" w:rsidRDefault="0072520F" w:rsidP="00373343">
      <w:pPr>
        <w:widowControl/>
        <w:bidi w:val="0"/>
        <w:adjustRightInd/>
        <w:spacing w:line="240" w:lineRule="auto"/>
        <w:ind w:left="952" w:hanging="952"/>
        <w:jc w:val="lowKashida"/>
        <w:textAlignment w:val="auto"/>
        <w:rPr>
          <w:sz w:val="28"/>
          <w:szCs w:val="28"/>
          <w:rtl/>
        </w:rPr>
      </w:pPr>
      <w:proofErr w:type="spellStart"/>
      <w:r w:rsidRPr="0072520F">
        <w:rPr>
          <w:sz w:val="28"/>
          <w:szCs w:val="28"/>
        </w:rPr>
        <w:t>Willman</w:t>
      </w:r>
      <w:proofErr w:type="spellEnd"/>
      <w:r w:rsidRPr="0072520F">
        <w:rPr>
          <w:sz w:val="28"/>
          <w:szCs w:val="28"/>
        </w:rPr>
        <w:t xml:space="preserve">, David. PGA </w:t>
      </w:r>
      <w:proofErr w:type="spellStart"/>
      <w:r w:rsidRPr="0072520F">
        <w:rPr>
          <w:sz w:val="28"/>
          <w:szCs w:val="28"/>
        </w:rPr>
        <w:t>Outclubs</w:t>
      </w:r>
      <w:proofErr w:type="spellEnd"/>
      <w:r w:rsidRPr="0072520F">
        <w:rPr>
          <w:sz w:val="28"/>
          <w:szCs w:val="28"/>
        </w:rPr>
        <w:t xml:space="preserve"> FTC in Antitrust Fight. October 22, 1995. https://www.latimes.com/archives/la-xpm-1995-10-22-fi-59876-story.html</w:t>
      </w:r>
      <w:r w:rsidRPr="0072520F">
        <w:rPr>
          <w:sz w:val="28"/>
          <w:szCs w:val="28"/>
          <w:rtl/>
        </w:rPr>
        <w:t>.</w:t>
      </w:r>
    </w:p>
    <w:p w14:paraId="064EB017" w14:textId="77777777" w:rsidR="00373343" w:rsidRDefault="00373343" w:rsidP="00373343">
      <w:pPr>
        <w:widowControl/>
        <w:adjustRightInd/>
        <w:spacing w:line="240" w:lineRule="auto"/>
        <w:jc w:val="left"/>
        <w:textAlignment w:val="auto"/>
        <w:rPr>
          <w:rFonts w:ascii="Simplified Arabic" w:hAnsi="Simplified Arabic" w:cs="Simplified Arabic"/>
          <w:b/>
          <w:bCs/>
          <w:sz w:val="28"/>
          <w:szCs w:val="28"/>
        </w:rPr>
      </w:pPr>
      <w:r>
        <w:rPr>
          <w:rFonts w:ascii="Simplified Arabic" w:hAnsi="Simplified Arabic" w:cs="Simplified Arabic"/>
          <w:b/>
          <w:bCs/>
          <w:sz w:val="28"/>
          <w:szCs w:val="28"/>
          <w:rtl/>
        </w:rPr>
        <w:br w:type="page"/>
      </w:r>
    </w:p>
    <w:p w14:paraId="5122FDD5" w14:textId="756D89DC" w:rsidR="0072520F" w:rsidRPr="0072520F" w:rsidRDefault="0072520F" w:rsidP="00B96506">
      <w:pPr>
        <w:widowControl/>
        <w:adjustRightInd/>
        <w:spacing w:line="240" w:lineRule="auto"/>
        <w:jc w:val="center"/>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lastRenderedPageBreak/>
        <w:t>قائمة القضايا</w:t>
      </w:r>
    </w:p>
    <w:p w14:paraId="4670B0D7"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Adaptive Power Sols., LLC v. Hughes Missile Sys. Co 141 F.3d 947 (9th Cir. 1998)</w:t>
      </w:r>
    </w:p>
    <w:p w14:paraId="6C3D077D"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American Needle v. National Football League 560 U.S. 183 (2010)</w:t>
      </w:r>
    </w:p>
    <w:p w14:paraId="7C552903"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 xml:space="preserve">Boston Professional Hockey Association. v. </w:t>
      </w:r>
      <w:proofErr w:type="spellStart"/>
      <w:r w:rsidRPr="0072520F">
        <w:rPr>
          <w:sz w:val="28"/>
          <w:szCs w:val="28"/>
        </w:rPr>
        <w:t>Cheevers</w:t>
      </w:r>
      <w:proofErr w:type="spellEnd"/>
      <w:r w:rsidRPr="0072520F">
        <w:rPr>
          <w:sz w:val="28"/>
          <w:szCs w:val="28"/>
        </w:rPr>
        <w:t xml:space="preserve"> 472 F.2d 127 (1st Cir. 1972)</w:t>
      </w:r>
      <w:r w:rsidRPr="0072520F">
        <w:rPr>
          <w:sz w:val="28"/>
          <w:szCs w:val="28"/>
          <w:rtl/>
        </w:rPr>
        <w:t xml:space="preserve">  </w:t>
      </w:r>
    </w:p>
    <w:p w14:paraId="6A1359CA"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Chicago Board of Trade v. United States 246 U.S. 231 (1918)</w:t>
      </w:r>
    </w:p>
    <w:p w14:paraId="03688469"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 xml:space="preserve">Cogan v. Harford </w:t>
      </w:r>
      <w:proofErr w:type="spellStart"/>
      <w:r w:rsidRPr="0072520F">
        <w:rPr>
          <w:sz w:val="28"/>
          <w:szCs w:val="28"/>
        </w:rPr>
        <w:t>Mem’l</w:t>
      </w:r>
      <w:proofErr w:type="spellEnd"/>
      <w:r w:rsidRPr="0072520F">
        <w:rPr>
          <w:sz w:val="28"/>
          <w:szCs w:val="28"/>
        </w:rPr>
        <w:t xml:space="preserve"> </w:t>
      </w:r>
      <w:proofErr w:type="spellStart"/>
      <w:r w:rsidRPr="0072520F">
        <w:rPr>
          <w:sz w:val="28"/>
          <w:szCs w:val="28"/>
        </w:rPr>
        <w:t>Hosp</w:t>
      </w:r>
      <w:proofErr w:type="spellEnd"/>
      <w:r w:rsidRPr="0072520F">
        <w:rPr>
          <w:sz w:val="28"/>
          <w:szCs w:val="28"/>
        </w:rPr>
        <w:t xml:space="preserve"> 843 F. Supp. 1013 (D. Md. 1994)</w:t>
      </w:r>
    </w:p>
    <w:p w14:paraId="5BAC6471"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proofErr w:type="spellStart"/>
      <w:r w:rsidRPr="0072520F">
        <w:rPr>
          <w:sz w:val="28"/>
          <w:szCs w:val="28"/>
        </w:rPr>
        <w:t>Copperweld</w:t>
      </w:r>
      <w:proofErr w:type="spellEnd"/>
      <w:r w:rsidRPr="0072520F">
        <w:rPr>
          <w:sz w:val="28"/>
          <w:szCs w:val="28"/>
        </w:rPr>
        <w:t xml:space="preserve"> Corporation v. Independence Tube Corporation 843 F. Supp. 1013 (D. Md. 1994)</w:t>
      </w:r>
    </w:p>
    <w:p w14:paraId="7F963B02"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Federal Baseball Club v National League 259 U.S. 200 (1922)</w:t>
      </w:r>
      <w:r w:rsidRPr="0072520F">
        <w:rPr>
          <w:sz w:val="28"/>
          <w:szCs w:val="28"/>
          <w:rtl/>
        </w:rPr>
        <w:t xml:space="preserve"> </w:t>
      </w:r>
    </w:p>
    <w:p w14:paraId="4162B483"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Flood v. Kuhn 407 U.S. 258 (1972)</w:t>
      </w:r>
      <w:r w:rsidRPr="0072520F">
        <w:rPr>
          <w:sz w:val="28"/>
          <w:szCs w:val="28"/>
          <w:rtl/>
        </w:rPr>
        <w:t xml:space="preserve"> </w:t>
      </w:r>
    </w:p>
    <w:p w14:paraId="02B3D7F1"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National Collegiate Athletic Association v. Alston 141 S. Ct. 2141 (2021)</w:t>
      </w:r>
    </w:p>
    <w:p w14:paraId="486FDD91"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National Society of Prof. Engineers v. United States 435 U.S. 679 (1978)</w:t>
      </w:r>
      <w:r w:rsidRPr="0072520F">
        <w:rPr>
          <w:sz w:val="28"/>
          <w:szCs w:val="28"/>
          <w:rtl/>
        </w:rPr>
        <w:t xml:space="preserve"> </w:t>
      </w:r>
    </w:p>
    <w:p w14:paraId="0693D32E"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 xml:space="preserve">Nova Designs, Inc. v. Scuba Retailers </w:t>
      </w:r>
      <w:proofErr w:type="spellStart"/>
      <w:r w:rsidRPr="0072520F">
        <w:rPr>
          <w:sz w:val="28"/>
          <w:szCs w:val="28"/>
        </w:rPr>
        <w:t>Ass’n</w:t>
      </w:r>
      <w:proofErr w:type="spellEnd"/>
      <w:r w:rsidRPr="0072520F">
        <w:rPr>
          <w:sz w:val="28"/>
          <w:szCs w:val="28"/>
        </w:rPr>
        <w:t xml:space="preserve"> 202 F.3d 1088 (9th Cir. 2000)</w:t>
      </w:r>
    </w:p>
    <w:p w14:paraId="70194B79"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O’Bannon v. NCAA 802 F.3d 1049, 1079 (9th Cir. 2015)</w:t>
      </w:r>
      <w:r w:rsidRPr="0072520F">
        <w:rPr>
          <w:sz w:val="28"/>
          <w:szCs w:val="28"/>
          <w:rtl/>
        </w:rPr>
        <w:t>.</w:t>
      </w:r>
    </w:p>
    <w:p w14:paraId="157150E7"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 xml:space="preserve">Omega </w:t>
      </w:r>
      <w:proofErr w:type="spellStart"/>
      <w:r w:rsidRPr="0072520F">
        <w:rPr>
          <w:sz w:val="28"/>
          <w:szCs w:val="28"/>
        </w:rPr>
        <w:t>Env’t</w:t>
      </w:r>
      <w:proofErr w:type="spellEnd"/>
      <w:r w:rsidRPr="0072520F">
        <w:rPr>
          <w:sz w:val="28"/>
          <w:szCs w:val="28"/>
        </w:rPr>
        <w:t>, Inc. v. Gilbarco, Inc. 127 F.3d 1157 (9th Cir. 1997)</w:t>
      </w:r>
    </w:p>
    <w:p w14:paraId="37396FC8"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PNY Techs., Inc. v. SanDisk Corp. Case No.: C-11-04689 YGR (N.D. Cal. Apr. 20, 2012)</w:t>
      </w:r>
    </w:p>
    <w:p w14:paraId="31821889"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proofErr w:type="spellStart"/>
      <w:r w:rsidRPr="0072520F">
        <w:rPr>
          <w:sz w:val="28"/>
          <w:szCs w:val="28"/>
        </w:rPr>
        <w:t>Radovich</w:t>
      </w:r>
      <w:proofErr w:type="spellEnd"/>
      <w:r w:rsidRPr="0072520F">
        <w:rPr>
          <w:sz w:val="28"/>
          <w:szCs w:val="28"/>
        </w:rPr>
        <w:t xml:space="preserve"> v. National Football League 352 U.S. 445 (1957)</w:t>
      </w:r>
    </w:p>
    <w:p w14:paraId="66F4012E"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proofErr w:type="spellStart"/>
      <w:r w:rsidRPr="0072520F">
        <w:rPr>
          <w:sz w:val="28"/>
          <w:szCs w:val="28"/>
        </w:rPr>
        <w:t>Rothery</w:t>
      </w:r>
      <w:proofErr w:type="spellEnd"/>
      <w:r w:rsidRPr="0072520F">
        <w:rPr>
          <w:sz w:val="28"/>
          <w:szCs w:val="28"/>
        </w:rPr>
        <w:t xml:space="preserve"> Storage &amp; Van Co. v. Atlas Van Lines, Inc. 792 F.2d 210 (D.C. Cir. 1986)</w:t>
      </w:r>
      <w:r w:rsidRPr="0072520F">
        <w:rPr>
          <w:sz w:val="28"/>
          <w:szCs w:val="28"/>
          <w:rtl/>
        </w:rPr>
        <w:t xml:space="preserve"> </w:t>
      </w:r>
    </w:p>
    <w:p w14:paraId="39DE3181"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t xml:space="preserve">Tops </w:t>
      </w:r>
      <w:proofErr w:type="spellStart"/>
      <w:r w:rsidRPr="0072520F">
        <w:rPr>
          <w:sz w:val="28"/>
          <w:szCs w:val="28"/>
        </w:rPr>
        <w:t>Mkts</w:t>
      </w:r>
      <w:proofErr w:type="spellEnd"/>
      <w:r w:rsidRPr="0072520F">
        <w:rPr>
          <w:sz w:val="28"/>
          <w:szCs w:val="28"/>
        </w:rPr>
        <w:t xml:space="preserve">., Inc. v. Quality </w:t>
      </w:r>
      <w:proofErr w:type="spellStart"/>
      <w:r w:rsidRPr="0072520F">
        <w:rPr>
          <w:sz w:val="28"/>
          <w:szCs w:val="28"/>
        </w:rPr>
        <w:t>Mkts</w:t>
      </w:r>
      <w:proofErr w:type="spellEnd"/>
      <w:r w:rsidRPr="0072520F">
        <w:rPr>
          <w:sz w:val="28"/>
          <w:szCs w:val="28"/>
        </w:rPr>
        <w:t xml:space="preserve">., </w:t>
      </w:r>
      <w:proofErr w:type="spellStart"/>
      <w:r w:rsidRPr="0072520F">
        <w:rPr>
          <w:sz w:val="28"/>
          <w:szCs w:val="28"/>
        </w:rPr>
        <w:t>Inc</w:t>
      </w:r>
      <w:proofErr w:type="spellEnd"/>
      <w:r w:rsidRPr="0072520F">
        <w:rPr>
          <w:sz w:val="28"/>
          <w:szCs w:val="28"/>
        </w:rPr>
        <w:t xml:space="preserve"> 142 F.3d 90 (2d Cir. 1998)</w:t>
      </w:r>
    </w:p>
    <w:p w14:paraId="1C1DFC01" w14:textId="77777777" w:rsidR="0072520F" w:rsidRPr="0072520F" w:rsidRDefault="0072520F" w:rsidP="00373343">
      <w:pPr>
        <w:widowControl/>
        <w:bidi w:val="0"/>
        <w:adjustRightInd/>
        <w:spacing w:line="240" w:lineRule="auto"/>
        <w:ind w:left="700" w:hanging="700"/>
        <w:jc w:val="lowKashida"/>
        <w:textAlignment w:val="auto"/>
        <w:rPr>
          <w:sz w:val="28"/>
          <w:szCs w:val="28"/>
          <w:rtl/>
        </w:rPr>
      </w:pPr>
      <w:r w:rsidRPr="0072520F">
        <w:rPr>
          <w:sz w:val="28"/>
          <w:szCs w:val="28"/>
        </w:rPr>
        <w:lastRenderedPageBreak/>
        <w:t>Washington Professional Basketball Corp. v. National Basketball Association 147 F. Supp. 154 (S.D.N.Y. 1956)</w:t>
      </w:r>
    </w:p>
    <w:p w14:paraId="4559798C" w14:textId="77777777" w:rsidR="0072520F" w:rsidRPr="0072520F" w:rsidRDefault="0072520F" w:rsidP="00373343">
      <w:pPr>
        <w:widowControl/>
        <w:bidi w:val="0"/>
        <w:adjustRightInd/>
        <w:spacing w:line="240" w:lineRule="auto"/>
        <w:ind w:left="700" w:hanging="700"/>
        <w:jc w:val="lowKashida"/>
        <w:textAlignment w:val="auto"/>
        <w:rPr>
          <w:sz w:val="28"/>
          <w:szCs w:val="28"/>
        </w:rPr>
      </w:pPr>
      <w:r w:rsidRPr="0072520F">
        <w:rPr>
          <w:sz w:val="28"/>
          <w:szCs w:val="28"/>
        </w:rPr>
        <w:t>Weyerhaeuser Co. v. Ross-Simmons Hardwood Lumber Co., Inc. 549 U.S. 312 (2007)</w:t>
      </w:r>
    </w:p>
    <w:p w14:paraId="70179620" w14:textId="77777777" w:rsidR="0072520F" w:rsidRPr="0072520F" w:rsidRDefault="0072520F" w:rsidP="00B96506">
      <w:pPr>
        <w:widowControl/>
        <w:adjustRightInd/>
        <w:spacing w:line="240" w:lineRule="auto"/>
        <w:jc w:val="center"/>
        <w:textAlignment w:val="auto"/>
        <w:rPr>
          <w:rFonts w:ascii="Simplified Arabic" w:hAnsi="Simplified Arabic" w:cs="Simplified Arabic"/>
          <w:b/>
          <w:bCs/>
          <w:sz w:val="28"/>
          <w:szCs w:val="28"/>
          <w:rtl/>
        </w:rPr>
      </w:pPr>
      <w:r w:rsidRPr="0072520F">
        <w:rPr>
          <w:rFonts w:ascii="Simplified Arabic" w:hAnsi="Simplified Arabic" w:cs="Simplified Arabic"/>
          <w:b/>
          <w:bCs/>
          <w:sz w:val="28"/>
          <w:szCs w:val="28"/>
          <w:rtl/>
        </w:rPr>
        <w:t>القوانين المستخدمة</w:t>
      </w:r>
    </w:p>
    <w:p w14:paraId="53E73645" w14:textId="77777777" w:rsidR="0072520F" w:rsidRPr="0072520F" w:rsidRDefault="0072520F" w:rsidP="00373343">
      <w:pPr>
        <w:widowControl/>
        <w:adjustRightInd/>
        <w:spacing w:line="240" w:lineRule="auto"/>
        <w:ind w:left="709" w:hanging="709"/>
        <w:jc w:val="lowKashida"/>
        <w:textAlignment w:val="auto"/>
        <w:rPr>
          <w:rFonts w:ascii="Simplified Arabic" w:eastAsia="Calibri" w:hAnsi="Simplified Arabic" w:cs="Simplified Arabic"/>
          <w:sz w:val="28"/>
          <w:szCs w:val="28"/>
          <w:shd w:val="clear" w:color="auto" w:fill="FFFFFF"/>
          <w:rtl/>
        </w:rPr>
      </w:pPr>
      <w:r w:rsidRPr="0072520F">
        <w:rPr>
          <w:rFonts w:ascii="Simplified Arabic" w:eastAsia="Calibri" w:hAnsi="Simplified Arabic" w:cs="Simplified Arabic"/>
          <w:sz w:val="28"/>
          <w:szCs w:val="28"/>
          <w:shd w:val="clear" w:color="auto" w:fill="FFFFFF"/>
          <w:rtl/>
        </w:rPr>
        <w:t>قانون حماية المنافسة ومنع الممارسات الاحتكارية المصري رقم 3 لسنة 2005</w:t>
      </w:r>
      <w:r w:rsidRPr="0072520F">
        <w:rPr>
          <w:rFonts w:ascii="Simplified Arabic" w:eastAsia="Calibri" w:hAnsi="Simplified Arabic" w:cs="Simplified Arabic"/>
          <w:sz w:val="28"/>
          <w:szCs w:val="28"/>
          <w:shd w:val="clear" w:color="auto" w:fill="FFFFFF"/>
        </w:rPr>
        <w:t xml:space="preserve"> </w:t>
      </w:r>
    </w:p>
    <w:p w14:paraId="6819DD97" w14:textId="77777777" w:rsidR="0072520F" w:rsidRPr="0072520F" w:rsidRDefault="0072520F" w:rsidP="00373343">
      <w:pPr>
        <w:widowControl/>
        <w:adjustRightInd/>
        <w:spacing w:line="240" w:lineRule="auto"/>
        <w:ind w:left="709" w:hanging="709"/>
        <w:jc w:val="lowKashida"/>
        <w:textAlignment w:val="auto"/>
        <w:rPr>
          <w:rFonts w:ascii="Simplified Arabic" w:eastAsia="Calibri" w:hAnsi="Simplified Arabic" w:cs="Simplified Arabic"/>
          <w:sz w:val="28"/>
          <w:szCs w:val="28"/>
          <w:shd w:val="clear" w:color="auto" w:fill="FFFFFF"/>
          <w:rtl/>
        </w:rPr>
      </w:pPr>
      <w:r w:rsidRPr="0072520F">
        <w:rPr>
          <w:rFonts w:ascii="Simplified Arabic" w:hAnsi="Simplified Arabic" w:cs="Simplified Arabic"/>
          <w:sz w:val="28"/>
          <w:szCs w:val="28"/>
          <w:rtl/>
        </w:rPr>
        <w:t>نظام المنافسة السعودي الصادر بقرار مجلس الوزراء رقم 372 بتاريخ 28/6/ 1440</w:t>
      </w:r>
    </w:p>
    <w:p w14:paraId="4356D29B" w14:textId="77777777" w:rsidR="0072520F" w:rsidRPr="0072520F" w:rsidRDefault="0072520F" w:rsidP="00373343">
      <w:pPr>
        <w:widowControl/>
        <w:bidi w:val="0"/>
        <w:adjustRightInd/>
        <w:spacing w:line="240" w:lineRule="auto"/>
        <w:ind w:left="882" w:hanging="882"/>
        <w:jc w:val="lowKashida"/>
        <w:textAlignment w:val="auto"/>
        <w:rPr>
          <w:sz w:val="28"/>
          <w:szCs w:val="28"/>
          <w:rtl/>
        </w:rPr>
      </w:pPr>
      <w:r w:rsidRPr="0072520F">
        <w:rPr>
          <w:sz w:val="28"/>
          <w:szCs w:val="28"/>
        </w:rPr>
        <w:t>The Sherman’s Antitrust Act 1890</w:t>
      </w:r>
    </w:p>
    <w:p w14:paraId="74DA5B99" w14:textId="77777777" w:rsidR="0072520F" w:rsidRPr="0072520F" w:rsidRDefault="0072520F" w:rsidP="00373343">
      <w:pPr>
        <w:widowControl/>
        <w:bidi w:val="0"/>
        <w:adjustRightInd/>
        <w:spacing w:line="240" w:lineRule="auto"/>
        <w:ind w:left="882" w:hanging="882"/>
        <w:jc w:val="lowKashida"/>
        <w:textAlignment w:val="auto"/>
        <w:rPr>
          <w:sz w:val="28"/>
          <w:szCs w:val="28"/>
          <w:rtl/>
        </w:rPr>
      </w:pPr>
      <w:r w:rsidRPr="0072520F">
        <w:rPr>
          <w:sz w:val="28"/>
          <w:szCs w:val="28"/>
        </w:rPr>
        <w:t xml:space="preserve">Defendant </w:t>
      </w:r>
      <w:proofErr w:type="spellStart"/>
      <w:r w:rsidRPr="0072520F">
        <w:rPr>
          <w:sz w:val="28"/>
          <w:szCs w:val="28"/>
        </w:rPr>
        <w:t>Pga</w:t>
      </w:r>
      <w:proofErr w:type="spellEnd"/>
      <w:r w:rsidRPr="0072520F">
        <w:rPr>
          <w:sz w:val="28"/>
          <w:szCs w:val="28"/>
        </w:rPr>
        <w:t xml:space="preserve"> Tour, Inc.’s Opposition to TRO Plaintiffs’ Motion For A Temporary Restraining Order CASE NO. 3:22-cv-04486</w:t>
      </w:r>
    </w:p>
    <w:p w14:paraId="77F8EDDF" w14:textId="77777777" w:rsidR="0072520F" w:rsidRPr="0072520F" w:rsidRDefault="0072520F" w:rsidP="00373343">
      <w:pPr>
        <w:widowControl/>
        <w:bidi w:val="0"/>
        <w:adjustRightInd/>
        <w:spacing w:line="240" w:lineRule="auto"/>
        <w:ind w:left="882" w:hanging="882"/>
        <w:jc w:val="lowKashida"/>
        <w:textAlignment w:val="auto"/>
        <w:rPr>
          <w:sz w:val="28"/>
          <w:szCs w:val="28"/>
          <w:rtl/>
        </w:rPr>
      </w:pPr>
      <w:r w:rsidRPr="0072520F">
        <w:rPr>
          <w:sz w:val="28"/>
          <w:szCs w:val="28"/>
        </w:rPr>
        <w:t xml:space="preserve">Complaint CASE NO. 3:22-cv-04486, Phil Mickelson et al. (Plaintiffs) v PGA Tour, </w:t>
      </w:r>
      <w:proofErr w:type="spellStart"/>
      <w:r w:rsidRPr="0072520F">
        <w:rPr>
          <w:sz w:val="28"/>
          <w:szCs w:val="28"/>
        </w:rPr>
        <w:t>Inc</w:t>
      </w:r>
      <w:proofErr w:type="spellEnd"/>
      <w:r w:rsidRPr="0072520F">
        <w:rPr>
          <w:sz w:val="28"/>
          <w:szCs w:val="28"/>
        </w:rPr>
        <w:t xml:space="preserve"> (Defendant)</w:t>
      </w:r>
    </w:p>
    <w:p w14:paraId="143A9131" w14:textId="13C61CE1" w:rsidR="00373343" w:rsidRDefault="00373343" w:rsidP="001C2B9E">
      <w:pPr>
        <w:widowControl/>
        <w:adjustRightInd/>
        <w:spacing w:line="240" w:lineRule="auto"/>
        <w:jc w:val="left"/>
        <w:textAlignment w:val="auto"/>
        <w:rPr>
          <w:rFonts w:ascii="Simplified Arabic" w:hAnsi="Simplified Arabic" w:cs="Simplified Arabic"/>
          <w:b/>
          <w:bCs/>
          <w:sz w:val="28"/>
          <w:szCs w:val="28"/>
        </w:rPr>
      </w:pPr>
      <w:r>
        <w:rPr>
          <w:rFonts w:ascii="Simplified Arabic" w:hAnsi="Simplified Arabic" w:cs="Simplified Arabic"/>
          <w:b/>
          <w:bCs/>
          <w:sz w:val="28"/>
          <w:szCs w:val="28"/>
        </w:rPr>
        <w:br w:type="page"/>
      </w:r>
    </w:p>
    <w:bookmarkEnd w:id="0"/>
    <w:p w14:paraId="324E91E5" w14:textId="77777777" w:rsidR="008A03AA" w:rsidRPr="00B96506" w:rsidRDefault="008A03AA" w:rsidP="00B96506">
      <w:pPr>
        <w:widowControl/>
        <w:bidi w:val="0"/>
        <w:adjustRightInd/>
        <w:spacing w:line="240" w:lineRule="auto"/>
        <w:jc w:val="left"/>
        <w:textAlignment w:val="auto"/>
        <w:rPr>
          <w:rFonts w:ascii="Simplified Arabic" w:hAnsi="Simplified Arabic" w:cs="Simplified Arabic"/>
          <w:b/>
          <w:bCs/>
          <w:sz w:val="28"/>
          <w:szCs w:val="28"/>
        </w:rPr>
      </w:pPr>
    </w:p>
    <w:sectPr w:rsidR="008A03AA" w:rsidRPr="00B96506" w:rsidSect="00B44413">
      <w:headerReference w:type="even" r:id="rId11"/>
      <w:headerReference w:type="default" r:id="rId12"/>
      <w:footerReference w:type="even" r:id="rId13"/>
      <w:footerReference w:type="default" r:id="rId14"/>
      <w:footerReference w:type="first" r:id="rId15"/>
      <w:footnotePr>
        <w:numRestart w:val="eachPage"/>
      </w:footnotePr>
      <w:endnotePr>
        <w:numFmt w:val="decimal"/>
      </w:endnotePr>
      <w:pgSz w:w="10319" w:h="14572" w:orient="landscape" w:code="12"/>
      <w:pgMar w:top="1758" w:right="2097" w:bottom="1418" w:left="1701" w:header="1077" w:footer="17" w:gutter="0"/>
      <w:pgNumType w:start="2401"/>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8B7C3" w14:textId="77777777" w:rsidR="00FA18D9" w:rsidRDefault="00FA18D9">
      <w:r>
        <w:separator/>
      </w:r>
    </w:p>
  </w:endnote>
  <w:endnote w:type="continuationSeparator" w:id="0">
    <w:p w14:paraId="707DA7A7" w14:textId="77777777" w:rsidR="00FA18D9" w:rsidRDefault="00FA18D9">
      <w:pPr>
        <w:rPr>
          <w:rtl/>
          <w:lang w:bidi="ar-EG"/>
        </w:rPr>
      </w:pPr>
      <w:r>
        <w:rPr>
          <w:rFonts w:hint="cs"/>
          <w:rtl/>
          <w:lang w:bidi="ar-EG"/>
        </w:rPr>
        <w:t>=</w:t>
      </w:r>
    </w:p>
  </w:endnote>
  <w:endnote w:type="continuationNotice" w:id="1">
    <w:p w14:paraId="4B06BEA8" w14:textId="77777777" w:rsidR="00FA18D9" w:rsidRDefault="00FA18D9" w:rsidP="00814ADB">
      <w:pPr>
        <w:pStyle w:val="ad"/>
        <w:jc w:val="right"/>
        <w:rPr>
          <w:rtl/>
        </w:rPr>
      </w:pPr>
      <w:r>
        <w:rPr>
          <w:rFonts w:hint="cs"/>
          <w:rtl/>
        </w:rPr>
        <w:t>=</w:t>
      </w:r>
    </w:p>
    <w:p w14:paraId="5CCCFF4F" w14:textId="77777777" w:rsidR="00FA18D9" w:rsidRPr="00EE12E9" w:rsidRDefault="00FA18D9"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8A03AA" w:rsidRDefault="008A03AA"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B44413" w:rsidRPr="00B44413">
          <w:rPr>
            <w:noProof/>
            <w:rtl/>
            <w:lang w:val="ar-SA"/>
          </w:rPr>
          <w:t>2432</w:t>
        </w:r>
        <w:r>
          <w:fldChar w:fldCharType="end"/>
        </w:r>
      </w:sdtContent>
    </w:sdt>
  </w:p>
  <w:p w14:paraId="595D94F0" w14:textId="77777777" w:rsidR="008A03AA" w:rsidRDefault="008A03AA" w:rsidP="00EC1E41">
    <w:pPr>
      <w:jc w:val="center"/>
      <w:rPr>
        <w:rtl/>
        <w:lang w:bidi="ar-IQ"/>
      </w:rPr>
    </w:pPr>
  </w:p>
  <w:p w14:paraId="4EB351F8" w14:textId="4B4B3453" w:rsidR="008A03AA" w:rsidRDefault="008A03AA" w:rsidP="00EC1E41">
    <w:pPr>
      <w:pStyle w:val="ad"/>
      <w:jc w:val="center"/>
    </w:pPr>
  </w:p>
  <w:p w14:paraId="1A9C0068" w14:textId="77777777" w:rsidR="008A03AA" w:rsidRPr="00E6487E" w:rsidRDefault="008A03AA" w:rsidP="00E6487E">
    <w:pPr>
      <w:pStyle w:val="ad"/>
      <w:jc w:val="center"/>
      <w:rPr>
        <w:sz w:val="30"/>
        <w:szCs w:val="30"/>
      </w:rPr>
    </w:pPr>
  </w:p>
  <w:p w14:paraId="7ADE33E0" w14:textId="77777777" w:rsidR="008A03AA" w:rsidRDefault="008A03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8A03AA" w:rsidRDefault="008A03AA"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B44413" w:rsidRPr="00B44413">
          <w:rPr>
            <w:noProof/>
            <w:rtl/>
            <w:lang w:val="ar-SA"/>
          </w:rPr>
          <w:t>2431</w:t>
        </w:r>
        <w:r>
          <w:fldChar w:fldCharType="end"/>
        </w:r>
      </w:sdtContent>
    </w:sdt>
  </w:p>
  <w:p w14:paraId="2D60CEB4" w14:textId="77777777" w:rsidR="008A03AA" w:rsidRDefault="008A03AA" w:rsidP="00E6487E">
    <w:pPr>
      <w:jc w:val="center"/>
      <w:rPr>
        <w:sz w:val="2"/>
        <w:szCs w:val="2"/>
        <w:lang w:bidi="ar-IQ"/>
      </w:rPr>
    </w:pPr>
  </w:p>
  <w:p w14:paraId="223605FE" w14:textId="77777777" w:rsidR="008A03AA" w:rsidRDefault="008A03AA" w:rsidP="00E6487E">
    <w:pPr>
      <w:jc w:val="center"/>
      <w:rPr>
        <w:sz w:val="2"/>
        <w:szCs w:val="2"/>
        <w:lang w:bidi="ar-IQ"/>
      </w:rPr>
    </w:pPr>
  </w:p>
  <w:p w14:paraId="0D90B5CC" w14:textId="77777777" w:rsidR="008A03AA" w:rsidRPr="00E6487E" w:rsidRDefault="008A03AA" w:rsidP="00E6487E">
    <w:pPr>
      <w:jc w:val="center"/>
      <w:rPr>
        <w:sz w:val="2"/>
        <w:szCs w:val="2"/>
        <w:rtl/>
        <w:lang w:bidi="ar-IQ"/>
      </w:rPr>
    </w:pPr>
  </w:p>
  <w:p w14:paraId="51DA62F0" w14:textId="77777777" w:rsidR="008A03AA" w:rsidRDefault="008A03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8A03AA" w:rsidRDefault="008A03AA"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69F3D" w14:textId="77777777" w:rsidR="00FA18D9" w:rsidRDefault="00FA18D9">
      <w:r>
        <w:separator/>
      </w:r>
    </w:p>
  </w:footnote>
  <w:footnote w:type="continuationSeparator" w:id="0">
    <w:p w14:paraId="6AB4FC4F" w14:textId="77777777" w:rsidR="00FA18D9" w:rsidRDefault="00FA18D9">
      <w:pPr>
        <w:rPr>
          <w:rtl/>
          <w:lang w:bidi="ar-EG"/>
        </w:rPr>
      </w:pPr>
      <w:r>
        <w:rPr>
          <w:rFonts w:hint="cs"/>
          <w:rtl/>
          <w:lang w:bidi="ar-EG"/>
        </w:rPr>
        <w:t>ــــــــــــــــــــــــــــــــــــــــــــــــــــ</w:t>
      </w:r>
    </w:p>
    <w:p w14:paraId="3C40472E" w14:textId="77777777" w:rsidR="00FA18D9" w:rsidRDefault="00FA18D9">
      <w:pPr>
        <w:rPr>
          <w:rtl/>
          <w:lang w:bidi="ar-EG"/>
        </w:rPr>
      </w:pPr>
      <w:r>
        <w:rPr>
          <w:rFonts w:hint="cs"/>
          <w:rtl/>
          <w:lang w:bidi="ar-EG"/>
        </w:rPr>
        <w:t>=</w:t>
      </w:r>
    </w:p>
  </w:footnote>
  <w:footnote w:type="continuationNotice" w:id="1">
    <w:p w14:paraId="18FAB3B4" w14:textId="77777777" w:rsidR="00FA18D9" w:rsidRDefault="00FA18D9" w:rsidP="00954324">
      <w:pPr>
        <w:spacing w:line="240" w:lineRule="auto"/>
        <w:jc w:val="right"/>
      </w:pPr>
      <w:r>
        <w:rPr>
          <w:rFonts w:hint="cs"/>
          <w:rtl/>
        </w:rPr>
        <w:t>=</w:t>
      </w:r>
    </w:p>
  </w:footnote>
  <w:footnote w:id="2">
    <w:p w14:paraId="23CA766E" w14:textId="77777777" w:rsidR="0072520F" w:rsidRPr="00B96506" w:rsidRDefault="0072520F" w:rsidP="00B96506">
      <w:pPr>
        <w:pStyle w:val="af0"/>
        <w:bidi w:val="0"/>
        <w:spacing w:line="230" w:lineRule="auto"/>
        <w:ind w:left="340" w:hanging="340"/>
        <w:jc w:val="lowKashida"/>
        <w:rPr>
          <w:sz w:val="24"/>
          <w:szCs w:val="24"/>
        </w:rPr>
      </w:pPr>
      <w:r w:rsidRPr="00B96506">
        <w:rPr>
          <w:rStyle w:val="af1"/>
          <w:sz w:val="24"/>
          <w:szCs w:val="24"/>
          <w:vertAlign w:val="baseline"/>
        </w:rPr>
        <w:footnoteRef/>
      </w:r>
      <w:r w:rsidRPr="00B96506">
        <w:rPr>
          <w:sz w:val="24"/>
          <w:szCs w:val="24"/>
        </w:rPr>
        <w:t xml:space="preserve"> Ross, S F, and S Szymanski. "Antitrust and Inefficient Joint Ventures: Sports Leagues Should Look More Like McDonald’s and Less Like the United Nations." Marquette Sports Law Review 16, no. 2 (2006): 214-259</w:t>
      </w:r>
    </w:p>
  </w:footnote>
  <w:footnote w:id="3">
    <w:p w14:paraId="292E1B86" w14:textId="77777777" w:rsidR="0072520F" w:rsidRPr="00B96506" w:rsidRDefault="0072520F" w:rsidP="00B96506">
      <w:pPr>
        <w:pStyle w:val="af0"/>
        <w:bidi w:val="0"/>
        <w:spacing w:line="230" w:lineRule="auto"/>
        <w:ind w:left="340" w:hanging="340"/>
        <w:jc w:val="lowKashida"/>
        <w:rPr>
          <w:sz w:val="24"/>
          <w:szCs w:val="24"/>
        </w:rPr>
      </w:pPr>
      <w:r w:rsidRPr="00B96506">
        <w:rPr>
          <w:rStyle w:val="af1"/>
          <w:sz w:val="24"/>
          <w:szCs w:val="24"/>
          <w:vertAlign w:val="baseline"/>
        </w:rPr>
        <w:footnoteRef/>
      </w:r>
      <w:r w:rsidRPr="00B96506">
        <w:rPr>
          <w:sz w:val="24"/>
          <w:szCs w:val="24"/>
        </w:rPr>
        <w:t xml:space="preserve"> El-</w:t>
      </w:r>
      <w:proofErr w:type="spellStart"/>
      <w:r w:rsidRPr="00B96506">
        <w:rPr>
          <w:sz w:val="24"/>
          <w:szCs w:val="24"/>
        </w:rPr>
        <w:t>Hodiri</w:t>
      </w:r>
      <w:proofErr w:type="spellEnd"/>
      <w:r w:rsidRPr="00B96506">
        <w:rPr>
          <w:sz w:val="24"/>
          <w:szCs w:val="24"/>
        </w:rPr>
        <w:t>, M, and J Quirk. "An Economic Model of a Professional Sports League." Journal of Political Economy 79, no. 6 (1971): 1302-1319</w:t>
      </w:r>
    </w:p>
  </w:footnote>
  <w:footnote w:id="4">
    <w:p w14:paraId="68E2BB0B" w14:textId="77777777" w:rsidR="0072520F" w:rsidRPr="00B96506" w:rsidRDefault="0072520F" w:rsidP="00B96506">
      <w:pPr>
        <w:bidi w:val="0"/>
        <w:spacing w:line="240" w:lineRule="auto"/>
        <w:ind w:left="340" w:hanging="340"/>
        <w:jc w:val="lowKashida"/>
        <w:rPr>
          <w:rtl/>
        </w:rPr>
      </w:pPr>
      <w:r w:rsidRPr="00B96506">
        <w:rPr>
          <w:rStyle w:val="af1"/>
          <w:vertAlign w:val="baseline"/>
        </w:rPr>
        <w:footnoteRef/>
      </w:r>
      <w:r w:rsidRPr="00B96506">
        <w:t xml:space="preserve"> Jacobs, M S. "Professional Sports Leagues, Antitrust, and the Single-Entity Theory: A Defense of the Status Quo." Indiana Law Journal 67, no. 1 (1991): 25-58</w:t>
      </w:r>
      <w:r w:rsidRPr="00B96506">
        <w:rPr>
          <w:rtl/>
        </w:rPr>
        <w:t>.</w:t>
      </w:r>
    </w:p>
  </w:footnote>
  <w:footnote w:id="5">
    <w:p w14:paraId="5D2E8D41" w14:textId="77777777" w:rsidR="0072520F" w:rsidRPr="00B96506" w:rsidRDefault="0072520F" w:rsidP="00B96506">
      <w:pPr>
        <w:pStyle w:val="af0"/>
        <w:spacing w:line="230" w:lineRule="auto"/>
        <w:ind w:left="340" w:hanging="340"/>
        <w:jc w:val="lowKashida"/>
        <w:rPr>
          <w:rFonts w:ascii="Simplified Arabic" w:hAnsi="Simplified Arabic" w:cs="Simplified Arabic"/>
          <w:sz w:val="22"/>
          <w:szCs w:val="22"/>
          <w:rtl/>
        </w:rPr>
      </w:pPr>
      <w:r w:rsidRPr="00B96506">
        <w:rPr>
          <w:rStyle w:val="af1"/>
          <w:rFonts w:ascii="Simplified Arabic" w:hAnsi="Simplified Arabic" w:cs="Simplified Arabic"/>
          <w:sz w:val="22"/>
          <w:szCs w:val="22"/>
          <w:vertAlign w:val="baseline"/>
        </w:rPr>
        <w:footnoteRef/>
      </w:r>
      <w:r w:rsidRPr="00B96506">
        <w:rPr>
          <w:rFonts w:ascii="Simplified Arabic" w:hAnsi="Simplified Arabic" w:cs="Simplified Arabic"/>
          <w:sz w:val="22"/>
          <w:szCs w:val="22"/>
        </w:rPr>
        <w:t xml:space="preserve"> </w:t>
      </w:r>
      <w:r w:rsidRPr="00B96506">
        <w:rPr>
          <w:rFonts w:ascii="Simplified Arabic" w:hAnsi="Simplified Arabic" w:cs="Simplified Arabic"/>
          <w:sz w:val="22"/>
          <w:szCs w:val="22"/>
          <w:rtl/>
        </w:rPr>
        <w:t xml:space="preserve"> </w:t>
      </w:r>
      <w:r w:rsidRPr="00B96506">
        <w:rPr>
          <w:rFonts w:ascii="Simplified Arabic" w:hAnsi="Simplified Arabic" w:cs="Simplified Arabic"/>
          <w:color w:val="222222"/>
          <w:sz w:val="22"/>
          <w:szCs w:val="22"/>
          <w:rtl/>
        </w:rPr>
        <w:t xml:space="preserve">معظم الدوريات الرياضية في أمريكا الشمالية عادة </w:t>
      </w:r>
      <w:proofErr w:type="spellStart"/>
      <w:r w:rsidRPr="00B96506">
        <w:rPr>
          <w:rFonts w:ascii="Simplified Arabic" w:hAnsi="Simplified Arabic" w:cs="Simplified Arabic"/>
          <w:color w:val="222222"/>
          <w:sz w:val="22"/>
          <w:szCs w:val="22"/>
          <w:rtl/>
        </w:rPr>
        <w:t>لاتملك</w:t>
      </w:r>
      <w:proofErr w:type="spellEnd"/>
      <w:r w:rsidRPr="00B96506">
        <w:rPr>
          <w:rFonts w:ascii="Simplified Arabic" w:hAnsi="Simplified Arabic" w:cs="Simplified Arabic"/>
          <w:color w:val="222222"/>
          <w:sz w:val="22"/>
          <w:szCs w:val="22"/>
          <w:rtl/>
        </w:rPr>
        <w:t xml:space="preserve"> اقسام هواة ويجب تسجيل اللاعبين في قائمة اللاعبين المحترفين فقط، كما ان اقسام الهواة في الغالب يتم تشغيلها في بطولات الدوري منفصلة </w:t>
      </w:r>
      <w:proofErr w:type="spellStart"/>
      <w:r w:rsidRPr="00B96506">
        <w:rPr>
          <w:rFonts w:ascii="Simplified Arabic" w:hAnsi="Simplified Arabic" w:cs="Simplified Arabic"/>
          <w:color w:val="222222"/>
          <w:sz w:val="22"/>
          <w:szCs w:val="22"/>
          <w:rtl/>
        </w:rPr>
        <w:t>مرتنبطة</w:t>
      </w:r>
      <w:proofErr w:type="spellEnd"/>
      <w:r w:rsidRPr="00B96506">
        <w:rPr>
          <w:rFonts w:ascii="Simplified Arabic" w:hAnsi="Simplified Arabic" w:cs="Simplified Arabic"/>
          <w:color w:val="222222"/>
          <w:sz w:val="22"/>
          <w:szCs w:val="22"/>
          <w:rtl/>
        </w:rPr>
        <w:t xml:space="preserve"> بالرياضة الجامعية للهواة. أنظر د. إحسان عواد، المنازعات الرياضية المنظورة لدى محكمة التحكيم الرياضي وضمان الاستقلالية </w:t>
      </w:r>
      <w:r w:rsidRPr="00B96506">
        <w:rPr>
          <w:rFonts w:ascii="Simplified Arabic" w:hAnsi="Simplified Arabic" w:cs="Simplified Arabic"/>
          <w:sz w:val="22"/>
          <w:szCs w:val="22"/>
          <w:rtl/>
        </w:rPr>
        <w:t>والموضوعية لقراراتها، مجلة علوم الرياضة- جامعة ديالى، مجلد 9 عدد 28، ص 56.</w:t>
      </w:r>
    </w:p>
  </w:footnote>
  <w:footnote w:id="6">
    <w:p w14:paraId="5DEDE4E8" w14:textId="77777777" w:rsidR="0072520F" w:rsidRPr="00B96506" w:rsidRDefault="0072520F" w:rsidP="00B96506">
      <w:pPr>
        <w:pStyle w:val="af0"/>
        <w:spacing w:line="23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sz w:val="24"/>
          <w:szCs w:val="24"/>
          <w:rtl/>
        </w:rPr>
        <w:t xml:space="preserve"> </w:t>
      </w:r>
      <w:r w:rsidRPr="00B96506">
        <w:rPr>
          <w:rFonts w:ascii="Simplified Arabic" w:hAnsi="Simplified Arabic" w:cs="Simplified Arabic"/>
          <w:color w:val="222222"/>
          <w:sz w:val="24"/>
          <w:szCs w:val="24"/>
          <w:shd w:val="clear" w:color="auto" w:fill="FFFFFF"/>
          <w:rtl/>
        </w:rPr>
        <w:t xml:space="preserve">قانون حماية المنافسة ومنع الممارسات الاحتكارية المصري رقم 3 لسنة 2005، على الرابط: </w:t>
      </w:r>
      <w:r w:rsidRPr="00B96506">
        <w:rPr>
          <w:rFonts w:ascii="Simplified Arabic" w:hAnsi="Simplified Arabic" w:cs="Simplified Arabic"/>
          <w:color w:val="222222"/>
          <w:sz w:val="24"/>
          <w:szCs w:val="24"/>
          <w:shd w:val="clear" w:color="auto" w:fill="FFFFFF"/>
        </w:rPr>
        <w:t>https://eca.org.eg/</w:t>
      </w:r>
      <w:r w:rsidRPr="00B96506">
        <w:rPr>
          <w:rFonts w:ascii="Simplified Arabic" w:hAnsi="Simplified Arabic" w:cs="Simplified Arabic"/>
          <w:color w:val="222222"/>
          <w:sz w:val="24"/>
          <w:szCs w:val="24"/>
          <w:shd w:val="clear" w:color="auto" w:fill="FFFFFF"/>
          <w:rtl/>
        </w:rPr>
        <w:t xml:space="preserve"> (تم </w:t>
      </w:r>
      <w:proofErr w:type="spellStart"/>
      <w:r w:rsidRPr="00B96506">
        <w:rPr>
          <w:rFonts w:ascii="Simplified Arabic" w:hAnsi="Simplified Arabic" w:cs="Simplified Arabic"/>
          <w:color w:val="222222"/>
          <w:sz w:val="24"/>
          <w:szCs w:val="24"/>
          <w:shd w:val="clear" w:color="auto" w:fill="FFFFFF"/>
          <w:rtl/>
        </w:rPr>
        <w:t>الإطلاع</w:t>
      </w:r>
      <w:proofErr w:type="spellEnd"/>
      <w:r w:rsidRPr="00B96506">
        <w:rPr>
          <w:rFonts w:ascii="Simplified Arabic" w:hAnsi="Simplified Arabic" w:cs="Simplified Arabic"/>
          <w:color w:val="222222"/>
          <w:sz w:val="24"/>
          <w:szCs w:val="24"/>
          <w:shd w:val="clear" w:color="auto" w:fill="FFFFFF"/>
          <w:rtl/>
        </w:rPr>
        <w:t xml:space="preserve"> 8 سبتمبر 2024)</w:t>
      </w:r>
    </w:p>
  </w:footnote>
  <w:footnote w:id="7">
    <w:p w14:paraId="0A738083" w14:textId="65FEDB7A" w:rsidR="0072520F" w:rsidRPr="00B96506" w:rsidRDefault="0072520F" w:rsidP="00B96506">
      <w:pPr>
        <w:pStyle w:val="af0"/>
        <w:spacing w:line="23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tl/>
        </w:rPr>
        <w:t xml:space="preserve"> نظام المنافسة في المملكة العربية السعودية، على الرابط: </w:t>
      </w:r>
      <w:r w:rsidRPr="00B96506">
        <w:rPr>
          <w:sz w:val="24"/>
          <w:szCs w:val="24"/>
        </w:rPr>
        <w:t>https://laws.boe.gov.sa/BoeLaws/Laws/Viewer/d7004beb</w:t>
      </w:r>
      <w:r w:rsidRPr="00B96506">
        <w:rPr>
          <w:rFonts w:ascii="Simplified Arabic" w:hAnsi="Simplified Arabic" w:cs="Simplified Arabic"/>
          <w:sz w:val="24"/>
          <w:szCs w:val="24"/>
          <w:rtl/>
        </w:rPr>
        <w:t xml:space="preserve"> (تم </w:t>
      </w:r>
      <w:proofErr w:type="spellStart"/>
      <w:r w:rsidRPr="00B96506">
        <w:rPr>
          <w:rFonts w:ascii="Simplified Arabic" w:hAnsi="Simplified Arabic" w:cs="Simplified Arabic"/>
          <w:sz w:val="24"/>
          <w:szCs w:val="24"/>
          <w:rtl/>
        </w:rPr>
        <w:t>الإطلاع</w:t>
      </w:r>
      <w:proofErr w:type="spellEnd"/>
      <w:r w:rsidRPr="00B96506">
        <w:rPr>
          <w:rFonts w:ascii="Simplified Arabic" w:hAnsi="Simplified Arabic" w:cs="Simplified Arabic"/>
          <w:sz w:val="24"/>
          <w:szCs w:val="24"/>
          <w:rtl/>
        </w:rPr>
        <w:t xml:space="preserve"> 8 سبتمبر 2024)</w:t>
      </w:r>
    </w:p>
  </w:footnote>
  <w:footnote w:id="8">
    <w:p w14:paraId="0C15C81B" w14:textId="77777777" w:rsidR="0072520F" w:rsidRPr="00B96506" w:rsidRDefault="0072520F" w:rsidP="00B96506">
      <w:pPr>
        <w:pStyle w:val="af0"/>
        <w:spacing w:line="240" w:lineRule="auto"/>
        <w:ind w:left="340" w:hanging="340"/>
        <w:jc w:val="lowKashida"/>
        <w:rPr>
          <w:rFonts w:ascii="Simplified Arabic" w:hAnsi="Simplified Arabic" w:cs="Simplified Arabic"/>
          <w:color w:val="202122"/>
          <w:sz w:val="24"/>
          <w:szCs w:val="24"/>
          <w:shd w:val="clear" w:color="auto" w:fill="FFFFFF"/>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b/>
          <w:bCs/>
          <w:color w:val="202122"/>
          <w:sz w:val="24"/>
          <w:szCs w:val="24"/>
          <w:shd w:val="clear" w:color="auto" w:fill="FFFFFF"/>
          <w:rtl/>
        </w:rPr>
        <w:t xml:space="preserve"> ليف غولف</w:t>
      </w:r>
      <w:r w:rsidRPr="00B96506">
        <w:rPr>
          <w:rFonts w:ascii="Simplified Arabic" w:hAnsi="Simplified Arabic" w:cs="Simplified Arabic"/>
          <w:color w:val="202122"/>
          <w:sz w:val="24"/>
          <w:szCs w:val="24"/>
          <w:shd w:val="clear" w:color="auto" w:fill="FFFFFF"/>
          <w:rtl/>
        </w:rPr>
        <w:t xml:space="preserve"> هو بطولة </w:t>
      </w:r>
      <w:proofErr w:type="spellStart"/>
      <w:r w:rsidRPr="00B96506">
        <w:rPr>
          <w:rFonts w:ascii="Simplified Arabic" w:hAnsi="Simplified Arabic" w:cs="Simplified Arabic"/>
          <w:color w:val="202122"/>
          <w:sz w:val="24"/>
          <w:szCs w:val="24"/>
          <w:shd w:val="clear" w:color="auto" w:fill="FFFFFF"/>
          <w:rtl/>
        </w:rPr>
        <w:t>قولف</w:t>
      </w:r>
      <w:proofErr w:type="spellEnd"/>
      <w:r w:rsidRPr="00B96506">
        <w:rPr>
          <w:rFonts w:ascii="Simplified Arabic" w:hAnsi="Simplified Arabic" w:cs="Simplified Arabic"/>
          <w:color w:val="202122"/>
          <w:sz w:val="24"/>
          <w:szCs w:val="24"/>
          <w:shd w:val="clear" w:color="auto" w:fill="FFFFFF"/>
          <w:rtl/>
        </w:rPr>
        <w:t xml:space="preserve"> مملوكة لصندوق </w:t>
      </w:r>
      <w:proofErr w:type="spellStart"/>
      <w:r w:rsidRPr="00B96506">
        <w:rPr>
          <w:rFonts w:ascii="Simplified Arabic" w:hAnsi="Simplified Arabic" w:cs="Simplified Arabic"/>
          <w:color w:val="202122"/>
          <w:sz w:val="24"/>
          <w:szCs w:val="24"/>
          <w:shd w:val="clear" w:color="auto" w:fill="FFFFFF"/>
          <w:rtl/>
        </w:rPr>
        <w:t>الإستثمارات</w:t>
      </w:r>
      <w:proofErr w:type="spellEnd"/>
      <w:r w:rsidRPr="00B96506">
        <w:rPr>
          <w:rFonts w:ascii="Simplified Arabic" w:hAnsi="Simplified Arabic" w:cs="Simplified Arabic"/>
          <w:color w:val="202122"/>
          <w:sz w:val="24"/>
          <w:szCs w:val="24"/>
          <w:shd w:val="clear" w:color="auto" w:fill="FFFFFF"/>
          <w:rtl/>
        </w:rPr>
        <w:t xml:space="preserve"> العامة السعودي وتبلغ قيمة الجوائز المالية لهذه البطولة أكثر من 200 مليون دولار وتقسم مراحل على البطولة على 8 مراحل تقام في مناطق مختلفة حول العالم.</w:t>
      </w:r>
    </w:p>
  </w:footnote>
  <w:footnote w:id="9">
    <w:p w14:paraId="3AAA7539"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sz w:val="24"/>
          <w:szCs w:val="24"/>
          <w:rtl/>
        </w:rPr>
        <w:t xml:space="preserve"> </w:t>
      </w:r>
      <w:r w:rsidRPr="00B96506">
        <w:rPr>
          <w:rFonts w:ascii="Simplified Arabic" w:hAnsi="Simplified Arabic" w:cs="Simplified Arabic"/>
          <w:b/>
          <w:bCs/>
          <w:sz w:val="24"/>
          <w:szCs w:val="24"/>
          <w:rtl/>
        </w:rPr>
        <w:t>جولة بي جي أي</w:t>
      </w:r>
      <w:r w:rsidRPr="00B96506">
        <w:rPr>
          <w:rFonts w:ascii="Simplified Arabic" w:hAnsi="Simplified Arabic" w:cs="Simplified Arabic"/>
          <w:sz w:val="24"/>
          <w:szCs w:val="24"/>
          <w:rtl/>
        </w:rPr>
        <w:t xml:space="preserve"> وهي البطولة الرئيسية لرياضة </w:t>
      </w:r>
      <w:proofErr w:type="spellStart"/>
      <w:r w:rsidRPr="00B96506">
        <w:rPr>
          <w:rFonts w:ascii="Simplified Arabic" w:hAnsi="Simplified Arabic" w:cs="Simplified Arabic"/>
          <w:sz w:val="24"/>
          <w:szCs w:val="24"/>
          <w:rtl/>
        </w:rPr>
        <w:t>القولف</w:t>
      </w:r>
      <w:proofErr w:type="spellEnd"/>
      <w:r w:rsidRPr="00B96506">
        <w:rPr>
          <w:rFonts w:ascii="Simplified Arabic" w:hAnsi="Simplified Arabic" w:cs="Simplified Arabic"/>
          <w:sz w:val="24"/>
          <w:szCs w:val="24"/>
          <w:rtl/>
        </w:rPr>
        <w:t xml:space="preserve"> في الولايات المتحدة الأمريكية وأوروبا.</w:t>
      </w:r>
    </w:p>
  </w:footnote>
  <w:footnote w:id="10">
    <w:p w14:paraId="385FD523" w14:textId="77777777" w:rsidR="0072520F" w:rsidRPr="00B96506" w:rsidRDefault="0072520F" w:rsidP="00B96506">
      <w:pPr>
        <w:pStyle w:val="af0"/>
        <w:bidi w:val="0"/>
        <w:spacing w:line="240" w:lineRule="auto"/>
        <w:ind w:left="340" w:hanging="340"/>
        <w:jc w:val="lowKashida"/>
        <w:rPr>
          <w:sz w:val="24"/>
          <w:szCs w:val="24"/>
        </w:rPr>
      </w:pPr>
      <w:r w:rsidRPr="00B96506">
        <w:rPr>
          <w:rStyle w:val="af1"/>
          <w:sz w:val="24"/>
          <w:szCs w:val="24"/>
          <w:vertAlign w:val="baseline"/>
        </w:rPr>
        <w:footnoteRef/>
      </w:r>
      <w:r w:rsidRPr="00B96506">
        <w:rPr>
          <w:sz w:val="24"/>
          <w:szCs w:val="24"/>
        </w:rPr>
        <w:t xml:space="preserve"> </w:t>
      </w:r>
      <w:proofErr w:type="spellStart"/>
      <w:r w:rsidRPr="00B96506">
        <w:rPr>
          <w:sz w:val="24"/>
          <w:szCs w:val="24"/>
        </w:rPr>
        <w:t>Pingue</w:t>
      </w:r>
      <w:proofErr w:type="spellEnd"/>
      <w:r w:rsidRPr="00B96506">
        <w:rPr>
          <w:sz w:val="24"/>
          <w:szCs w:val="24"/>
        </w:rPr>
        <w:t>, F. PGA Tour threatens 'disciplinary action' ahead of LIV opener. June 1, 2022. https://www.reuters.com/lifestyle/sports/pga-tour-threatens-disciplinary-action-ahead-liv-opener-2022-06-01</w:t>
      </w:r>
    </w:p>
  </w:footnote>
  <w:footnote w:id="11">
    <w:p w14:paraId="4F8079DA" w14:textId="77777777" w:rsidR="0072520F" w:rsidRPr="00B96506" w:rsidRDefault="0072520F" w:rsidP="00B96506">
      <w:pPr>
        <w:bidi w:val="0"/>
        <w:spacing w:line="240" w:lineRule="auto"/>
        <w:ind w:left="340" w:hanging="340"/>
        <w:jc w:val="lowKashida"/>
        <w:rPr>
          <w:rtl/>
        </w:rPr>
      </w:pPr>
      <w:r w:rsidRPr="00B96506">
        <w:rPr>
          <w:rStyle w:val="af1"/>
          <w:vertAlign w:val="baseline"/>
        </w:rPr>
        <w:footnoteRef/>
      </w:r>
      <w:r w:rsidRPr="00B96506">
        <w:t xml:space="preserve"> </w:t>
      </w:r>
      <w:proofErr w:type="spellStart"/>
      <w:r w:rsidRPr="00B96506">
        <w:t>Maese</w:t>
      </w:r>
      <w:proofErr w:type="spellEnd"/>
      <w:r w:rsidRPr="00B96506">
        <w:t>, Rick. LIV Golf joins its players in lawsuit, intensifying feud with PGA Tour. August 28, 2022. https://www.washingtonpost.com/sports/2022/08/28/liv-golf-antitrust-lawsuit</w:t>
      </w:r>
      <w:r w:rsidRPr="00B96506">
        <w:rPr>
          <w:rtl/>
        </w:rPr>
        <w:t>/.</w:t>
      </w:r>
      <w:r w:rsidRPr="00B96506">
        <w:t xml:space="preserve">  </w:t>
      </w:r>
    </w:p>
  </w:footnote>
  <w:footnote w:id="12">
    <w:p w14:paraId="0ECF8DBE" w14:textId="77777777" w:rsidR="0072520F" w:rsidRPr="00B96506" w:rsidRDefault="0072520F" w:rsidP="00B96506">
      <w:pPr>
        <w:bidi w:val="0"/>
        <w:spacing w:line="240" w:lineRule="auto"/>
        <w:ind w:left="340" w:hanging="340"/>
        <w:jc w:val="lowKashida"/>
        <w:rPr>
          <w:rtl/>
        </w:rPr>
      </w:pPr>
      <w:r w:rsidRPr="00B96506">
        <w:rPr>
          <w:rStyle w:val="af1"/>
          <w:vertAlign w:val="baseline"/>
        </w:rPr>
        <w:footnoteRef/>
      </w:r>
      <w:r w:rsidRPr="00B96506">
        <w:t xml:space="preserve"> Stebbins, Jack. Justice Department’s antitrust investigation of PGA Tour includes U.S. Golf Association. October 26, 2022. https://www.cnbc.com/2022/10/26/justice-departments-antitrust-investigation-of-pga-tour-includes-usga.html</w:t>
      </w:r>
      <w:r w:rsidRPr="00B96506">
        <w:rPr>
          <w:rtl/>
        </w:rPr>
        <w:t>.</w:t>
      </w:r>
    </w:p>
  </w:footnote>
  <w:footnote w:id="13">
    <w:p w14:paraId="4023D722" w14:textId="77777777" w:rsidR="00B96506" w:rsidRDefault="0072520F" w:rsidP="00B96506">
      <w:pPr>
        <w:bidi w:val="0"/>
        <w:spacing w:line="240" w:lineRule="auto"/>
        <w:ind w:left="340" w:hanging="340"/>
        <w:jc w:val="lowKashida"/>
      </w:pPr>
      <w:r w:rsidRPr="00B96506">
        <w:rPr>
          <w:rStyle w:val="af1"/>
          <w:vertAlign w:val="baseline"/>
        </w:rPr>
        <w:footnoteRef/>
      </w:r>
      <w:r w:rsidRPr="00B96506">
        <w:t xml:space="preserve"> PGA Tour, Inc. "Return of organization exempt from income tax, form 990." IRS. 2021.</w:t>
      </w:r>
    </w:p>
    <w:p w14:paraId="4B7D7AEE" w14:textId="3A010C4B" w:rsidR="0072520F" w:rsidRPr="00B96506" w:rsidRDefault="0072520F" w:rsidP="00B96506">
      <w:pPr>
        <w:bidi w:val="0"/>
        <w:spacing w:line="240" w:lineRule="auto"/>
        <w:ind w:left="340" w:hanging="340"/>
        <w:jc w:val="lowKashida"/>
        <w:rPr>
          <w:rtl/>
        </w:rPr>
      </w:pPr>
      <w:r w:rsidRPr="00B96506">
        <w:t xml:space="preserve"> http://thf_media.s3.amazonaws.com/2022/pga_2020_990.pdf</w:t>
      </w:r>
      <w:r w:rsidRPr="00B96506">
        <w:rPr>
          <w:rtl/>
        </w:rPr>
        <w:t>.</w:t>
      </w:r>
    </w:p>
  </w:footnote>
  <w:footnote w:id="14">
    <w:p w14:paraId="55416406" w14:textId="77777777" w:rsidR="00B96506" w:rsidRDefault="0072520F" w:rsidP="00B96506">
      <w:pPr>
        <w:pStyle w:val="af0"/>
        <w:bidi w:val="0"/>
        <w:spacing w:line="240" w:lineRule="auto"/>
        <w:ind w:left="340" w:hanging="340"/>
        <w:jc w:val="lowKashida"/>
        <w:rPr>
          <w:sz w:val="24"/>
          <w:szCs w:val="24"/>
        </w:rPr>
      </w:pPr>
      <w:r w:rsidRPr="00B96506">
        <w:rPr>
          <w:rStyle w:val="af1"/>
          <w:sz w:val="24"/>
          <w:szCs w:val="24"/>
          <w:vertAlign w:val="baseline"/>
        </w:rPr>
        <w:footnoteRef/>
      </w:r>
      <w:r w:rsidRPr="00B96506">
        <w:rPr>
          <w:sz w:val="24"/>
          <w:szCs w:val="24"/>
        </w:rPr>
        <w:t xml:space="preserve"> Herrington, R. PGA Tour, European Tour announce formation of a strategic alliance. November 27, 2020. </w:t>
      </w:r>
    </w:p>
    <w:p w14:paraId="27E1CC30" w14:textId="48A71EA9" w:rsidR="0072520F" w:rsidRPr="00B96506" w:rsidRDefault="0072520F" w:rsidP="00B96506">
      <w:pPr>
        <w:pStyle w:val="af0"/>
        <w:bidi w:val="0"/>
        <w:spacing w:line="240" w:lineRule="auto"/>
        <w:ind w:left="340" w:hanging="340"/>
        <w:jc w:val="lowKashida"/>
        <w:rPr>
          <w:sz w:val="24"/>
          <w:szCs w:val="24"/>
          <w:rtl/>
        </w:rPr>
      </w:pPr>
      <w:r w:rsidRPr="00B96506">
        <w:rPr>
          <w:sz w:val="24"/>
          <w:szCs w:val="24"/>
        </w:rPr>
        <w:t>https://www.golfdigest.com/story/pga-tour-and-european-tour-announce-strategic-alliance</w:t>
      </w:r>
    </w:p>
  </w:footnote>
  <w:footnote w:id="15">
    <w:p w14:paraId="6E94B245" w14:textId="77777777" w:rsidR="00B96506" w:rsidRDefault="0072520F" w:rsidP="00B96506">
      <w:pPr>
        <w:pStyle w:val="af0"/>
        <w:bidi w:val="0"/>
        <w:spacing w:line="240" w:lineRule="auto"/>
        <w:ind w:left="340" w:hanging="340"/>
        <w:jc w:val="lowKashida"/>
        <w:rPr>
          <w:sz w:val="24"/>
          <w:szCs w:val="24"/>
        </w:rPr>
      </w:pPr>
      <w:r w:rsidRPr="00B96506">
        <w:rPr>
          <w:rStyle w:val="af1"/>
          <w:sz w:val="24"/>
          <w:szCs w:val="24"/>
          <w:vertAlign w:val="baseline"/>
        </w:rPr>
        <w:footnoteRef/>
      </w:r>
      <w:r w:rsidRPr="00B96506">
        <w:rPr>
          <w:sz w:val="24"/>
          <w:szCs w:val="24"/>
        </w:rPr>
        <w:t xml:space="preserve"> </w:t>
      </w:r>
      <w:proofErr w:type="spellStart"/>
      <w:r w:rsidRPr="00B96506">
        <w:rPr>
          <w:sz w:val="24"/>
          <w:szCs w:val="24"/>
        </w:rPr>
        <w:t>Beall</w:t>
      </w:r>
      <w:proofErr w:type="spellEnd"/>
      <w:r w:rsidRPr="00B96506">
        <w:rPr>
          <w:sz w:val="24"/>
          <w:szCs w:val="24"/>
        </w:rPr>
        <w:t>, J. The LIV Golf series: What we know, what we don’t, and the massive ramifications of the Saudi-backed league. June 8, 2022.</w:t>
      </w:r>
      <w:r w:rsidR="00B96506">
        <w:rPr>
          <w:sz w:val="24"/>
          <w:szCs w:val="24"/>
        </w:rPr>
        <w:t xml:space="preserve"> </w:t>
      </w:r>
    </w:p>
    <w:p w14:paraId="1C630B1B" w14:textId="5988047D" w:rsidR="0072520F" w:rsidRPr="00B96506" w:rsidRDefault="0072520F" w:rsidP="00B96506">
      <w:pPr>
        <w:pStyle w:val="af0"/>
        <w:bidi w:val="0"/>
        <w:spacing w:line="240" w:lineRule="auto"/>
        <w:ind w:left="340" w:hanging="340"/>
        <w:jc w:val="lowKashida"/>
        <w:rPr>
          <w:sz w:val="24"/>
          <w:szCs w:val="24"/>
          <w:rtl/>
        </w:rPr>
      </w:pPr>
      <w:r w:rsidRPr="00B96506">
        <w:rPr>
          <w:sz w:val="24"/>
          <w:szCs w:val="24"/>
        </w:rPr>
        <w:t>https://www.golfdigest.com/story/saudi-golf-league-2022-primer</w:t>
      </w:r>
    </w:p>
  </w:footnote>
  <w:footnote w:id="16">
    <w:p w14:paraId="1EADD118" w14:textId="77777777" w:rsidR="0072520F" w:rsidRPr="00B96506" w:rsidRDefault="0072520F" w:rsidP="00B96506">
      <w:pPr>
        <w:pStyle w:val="af0"/>
        <w:bidi w:val="0"/>
        <w:spacing w:line="240" w:lineRule="auto"/>
        <w:ind w:left="340" w:hanging="340"/>
        <w:jc w:val="lowKashida"/>
        <w:rPr>
          <w:sz w:val="22"/>
          <w:szCs w:val="22"/>
        </w:rPr>
      </w:pPr>
      <w:r w:rsidRPr="00B96506">
        <w:rPr>
          <w:rStyle w:val="af1"/>
          <w:sz w:val="22"/>
          <w:szCs w:val="22"/>
          <w:vertAlign w:val="baseline"/>
        </w:rPr>
        <w:footnoteRef/>
      </w:r>
      <w:r w:rsidRPr="00B96506">
        <w:rPr>
          <w:sz w:val="22"/>
          <w:szCs w:val="22"/>
        </w:rPr>
        <w:t xml:space="preserve"> </w:t>
      </w:r>
      <w:proofErr w:type="spellStart"/>
      <w:r w:rsidRPr="00B96506">
        <w:rPr>
          <w:sz w:val="22"/>
          <w:szCs w:val="22"/>
        </w:rPr>
        <w:t>Shipnuck</w:t>
      </w:r>
      <w:proofErr w:type="spellEnd"/>
      <w:r w:rsidRPr="00B96506">
        <w:rPr>
          <w:sz w:val="22"/>
          <w:szCs w:val="22"/>
        </w:rPr>
        <w:t>, Alan. An inside look at how the money works on LIV Golf. July 2, 2022. https://www.golfdigest.com/story/an-inside-look-at-how-the-money-works-on-liv-golf-phil-mickelson-brooks-koepka</w:t>
      </w:r>
    </w:p>
  </w:footnote>
  <w:footnote w:id="17">
    <w:p w14:paraId="0D3B47BC" w14:textId="77777777" w:rsidR="0072520F" w:rsidRPr="00B96506" w:rsidRDefault="0072520F" w:rsidP="00B96506">
      <w:pPr>
        <w:pStyle w:val="af0"/>
        <w:bidi w:val="0"/>
        <w:spacing w:line="240" w:lineRule="auto"/>
        <w:ind w:left="340" w:hanging="340"/>
        <w:jc w:val="lowKashida"/>
        <w:rPr>
          <w:sz w:val="24"/>
          <w:szCs w:val="24"/>
          <w:rtl/>
        </w:rPr>
      </w:pPr>
      <w:r w:rsidRPr="00B96506">
        <w:rPr>
          <w:rStyle w:val="af1"/>
          <w:sz w:val="24"/>
          <w:szCs w:val="24"/>
          <w:vertAlign w:val="baseline"/>
        </w:rPr>
        <w:footnoteRef/>
      </w:r>
      <w:r w:rsidRPr="00B96506">
        <w:rPr>
          <w:sz w:val="24"/>
          <w:szCs w:val="24"/>
        </w:rPr>
        <w:t xml:space="preserve"> Van Rompuy, Ben. "Antitrust challenges to sports governance: EU and US perspectives." In Handbook on International Sports Law, by J </w:t>
      </w:r>
      <w:proofErr w:type="spellStart"/>
      <w:r w:rsidRPr="00B96506">
        <w:rPr>
          <w:sz w:val="24"/>
          <w:szCs w:val="24"/>
        </w:rPr>
        <w:t>Nafziger</w:t>
      </w:r>
      <w:proofErr w:type="spellEnd"/>
      <w:r w:rsidRPr="00B96506">
        <w:rPr>
          <w:sz w:val="24"/>
          <w:szCs w:val="24"/>
        </w:rPr>
        <w:t xml:space="preserve"> and R Gauthier, 423-455. Northampton: Edward Elgar, 2022</w:t>
      </w:r>
    </w:p>
  </w:footnote>
  <w:footnote w:id="18">
    <w:p w14:paraId="363BABBF"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tl/>
        </w:rPr>
        <w:t xml:space="preserve">يشير مصطلح الكيانات الرياضية الى الاتحادات الرياضية والأندية الرياضية غالبا، اذ يقصد بالنادي عادة المؤسسة الرياضية ذات الشخصية الاعتبارية المرخص لها رسميا بممارسة الأنشطة المتعلقة بلعبة رياضية. انظر </w:t>
      </w:r>
      <w:proofErr w:type="spellStart"/>
      <w:r w:rsidRPr="00B96506">
        <w:rPr>
          <w:rFonts w:ascii="Simplified Arabic" w:hAnsi="Simplified Arabic" w:cs="Simplified Arabic"/>
          <w:sz w:val="24"/>
          <w:szCs w:val="24"/>
          <w:rtl/>
        </w:rPr>
        <w:t>د.هيثم</w:t>
      </w:r>
      <w:proofErr w:type="spellEnd"/>
      <w:r w:rsidRPr="00B96506">
        <w:rPr>
          <w:rFonts w:ascii="Simplified Arabic" w:hAnsi="Simplified Arabic" w:cs="Simplified Arabic"/>
          <w:sz w:val="24"/>
          <w:szCs w:val="24"/>
          <w:rtl/>
        </w:rPr>
        <w:t xml:space="preserve"> المصاروة و د. عمار الرفاعي، إنهاء عقد </w:t>
      </w:r>
      <w:proofErr w:type="spellStart"/>
      <w:r w:rsidRPr="00B96506">
        <w:rPr>
          <w:rFonts w:ascii="Simplified Arabic" w:hAnsi="Simplified Arabic" w:cs="Simplified Arabic"/>
          <w:sz w:val="24"/>
          <w:szCs w:val="24"/>
          <w:rtl/>
        </w:rPr>
        <w:t>إحتراف</w:t>
      </w:r>
      <w:proofErr w:type="spellEnd"/>
      <w:r w:rsidRPr="00B96506">
        <w:rPr>
          <w:rFonts w:ascii="Simplified Arabic" w:hAnsi="Simplified Arabic" w:cs="Simplified Arabic"/>
          <w:sz w:val="24"/>
          <w:szCs w:val="24"/>
          <w:rtl/>
        </w:rPr>
        <w:t xml:space="preserve"> لاعب كرة القدم بالإرادة المنفردة، مجلة العلوم القانونية – جامعة عجمان، السنة 3 العدد 6 (2017) ص.5 </w:t>
      </w:r>
    </w:p>
  </w:footnote>
  <w:footnote w:id="19">
    <w:p w14:paraId="2A389DEC" w14:textId="77777777" w:rsidR="0072520F" w:rsidRPr="00B96506" w:rsidRDefault="0072520F" w:rsidP="00B96506">
      <w:pPr>
        <w:pStyle w:val="af0"/>
        <w:bidi w:val="0"/>
        <w:spacing w:line="240" w:lineRule="auto"/>
        <w:ind w:left="340" w:hanging="340"/>
        <w:jc w:val="lowKashida"/>
        <w:rPr>
          <w:sz w:val="24"/>
          <w:szCs w:val="24"/>
          <w:rtl/>
        </w:rPr>
      </w:pPr>
      <w:r w:rsidRPr="00B96506">
        <w:rPr>
          <w:rStyle w:val="af1"/>
          <w:sz w:val="24"/>
          <w:szCs w:val="24"/>
          <w:vertAlign w:val="baseline"/>
        </w:rPr>
        <w:footnoteRef/>
      </w:r>
      <w:r w:rsidRPr="00B96506">
        <w:rPr>
          <w:sz w:val="24"/>
          <w:szCs w:val="24"/>
        </w:rPr>
        <w:t xml:space="preserve"> van Rompuy, Ben. "Antitrust challenges to sports governance: EU and US perspectives." In Handbook on International Sports Law, by J </w:t>
      </w:r>
      <w:proofErr w:type="spellStart"/>
      <w:r w:rsidRPr="00B96506">
        <w:rPr>
          <w:sz w:val="24"/>
          <w:szCs w:val="24"/>
        </w:rPr>
        <w:t>Nafziger</w:t>
      </w:r>
      <w:proofErr w:type="spellEnd"/>
      <w:r w:rsidRPr="00B96506">
        <w:rPr>
          <w:sz w:val="24"/>
          <w:szCs w:val="24"/>
        </w:rPr>
        <w:t xml:space="preserve"> and R Gauthier, 423-455. Northampton: Edward Elgar, 2022</w:t>
      </w:r>
    </w:p>
  </w:footnote>
  <w:footnote w:id="20">
    <w:p w14:paraId="590F30EA" w14:textId="77777777" w:rsidR="0072520F" w:rsidRPr="00B96506" w:rsidRDefault="0072520F" w:rsidP="00B96506">
      <w:pPr>
        <w:bidi w:val="0"/>
        <w:spacing w:line="240" w:lineRule="auto"/>
        <w:ind w:left="340" w:hanging="340"/>
        <w:jc w:val="lowKashida"/>
      </w:pPr>
      <w:r w:rsidRPr="00B96506">
        <w:rPr>
          <w:rStyle w:val="af1"/>
          <w:vertAlign w:val="baseline"/>
        </w:rPr>
        <w:footnoteRef/>
      </w:r>
      <w:r w:rsidRPr="00B96506">
        <w:t xml:space="preserve"> American Needle v. National Football League 560 U.S. 183 (2010)</w:t>
      </w:r>
    </w:p>
  </w:footnote>
  <w:footnote w:id="21">
    <w:p w14:paraId="36D4541B" w14:textId="77777777" w:rsidR="0072520F" w:rsidRPr="00B96506" w:rsidRDefault="0072520F" w:rsidP="00B96506">
      <w:pPr>
        <w:pStyle w:val="af0"/>
        <w:bidi w:val="0"/>
        <w:spacing w:line="240" w:lineRule="auto"/>
        <w:ind w:left="340" w:hanging="340"/>
        <w:jc w:val="lowKashida"/>
        <w:rPr>
          <w:sz w:val="22"/>
          <w:szCs w:val="22"/>
          <w:rtl/>
        </w:rPr>
      </w:pPr>
      <w:r w:rsidRPr="00B96506">
        <w:rPr>
          <w:rStyle w:val="af1"/>
          <w:sz w:val="22"/>
          <w:szCs w:val="22"/>
          <w:vertAlign w:val="baseline"/>
        </w:rPr>
        <w:footnoteRef/>
      </w:r>
      <w:r w:rsidRPr="00B96506">
        <w:rPr>
          <w:sz w:val="22"/>
          <w:szCs w:val="22"/>
        </w:rPr>
        <w:t xml:space="preserve"> </w:t>
      </w:r>
      <w:proofErr w:type="spellStart"/>
      <w:r w:rsidRPr="00B96506">
        <w:rPr>
          <w:sz w:val="22"/>
          <w:szCs w:val="22"/>
        </w:rPr>
        <w:t>Areeda</w:t>
      </w:r>
      <w:proofErr w:type="spellEnd"/>
      <w:r w:rsidRPr="00B96506">
        <w:rPr>
          <w:sz w:val="22"/>
          <w:szCs w:val="22"/>
        </w:rPr>
        <w:t xml:space="preserve">, P, and H </w:t>
      </w:r>
      <w:proofErr w:type="spellStart"/>
      <w:r w:rsidRPr="00B96506">
        <w:rPr>
          <w:sz w:val="22"/>
          <w:szCs w:val="22"/>
        </w:rPr>
        <w:t>Hovenkamp</w:t>
      </w:r>
      <w:proofErr w:type="spellEnd"/>
      <w:r w:rsidRPr="00B96506">
        <w:rPr>
          <w:sz w:val="22"/>
          <w:szCs w:val="22"/>
        </w:rPr>
        <w:t xml:space="preserve">. Antitrust Law: An Analysis of Antitrust Principles and their Application. 4th. </w:t>
      </w:r>
      <w:proofErr w:type="spellStart"/>
      <w:r w:rsidRPr="00B96506">
        <w:rPr>
          <w:sz w:val="22"/>
          <w:szCs w:val="22"/>
        </w:rPr>
        <w:t>Wolters</w:t>
      </w:r>
      <w:proofErr w:type="spellEnd"/>
      <w:r w:rsidRPr="00B96506">
        <w:rPr>
          <w:sz w:val="22"/>
          <w:szCs w:val="22"/>
        </w:rPr>
        <w:t xml:space="preserve"> Kluwer, 2014</w:t>
      </w:r>
    </w:p>
  </w:footnote>
  <w:footnote w:id="22">
    <w:p w14:paraId="0AAB5426" w14:textId="77777777" w:rsidR="0072520F" w:rsidRPr="00B96506" w:rsidRDefault="0072520F" w:rsidP="00B96506">
      <w:pPr>
        <w:bidi w:val="0"/>
        <w:spacing w:line="240" w:lineRule="auto"/>
        <w:ind w:left="340" w:hanging="340"/>
        <w:jc w:val="lowKashida"/>
      </w:pPr>
      <w:r w:rsidRPr="00B96506">
        <w:rPr>
          <w:rStyle w:val="af1"/>
          <w:vertAlign w:val="baseline"/>
        </w:rPr>
        <w:footnoteRef/>
      </w:r>
      <w:r w:rsidRPr="00B96506">
        <w:t xml:space="preserve"> Edelman, Marc. "Upon Further Review: Will the NFL’s Trademark Licensing Practices Survive Full Antitrust Scrutiny? The Remand of American Needle v. National football League." Stanford Journal of Law, Business and Finance 16 (2011): 183-203</w:t>
      </w:r>
      <w:r w:rsidRPr="00B96506">
        <w:rPr>
          <w:rtl/>
        </w:rPr>
        <w:t>.</w:t>
      </w:r>
    </w:p>
  </w:footnote>
  <w:footnote w:id="23">
    <w:p w14:paraId="69C7DC17" w14:textId="77777777" w:rsidR="0072520F" w:rsidRPr="00B96506" w:rsidRDefault="0072520F" w:rsidP="00B96506">
      <w:pPr>
        <w:pStyle w:val="af0"/>
        <w:bidi w:val="0"/>
        <w:spacing w:line="240" w:lineRule="auto"/>
        <w:ind w:left="340" w:hanging="340"/>
        <w:jc w:val="lowKashida"/>
        <w:rPr>
          <w:sz w:val="24"/>
          <w:szCs w:val="24"/>
          <w:rtl/>
        </w:rPr>
      </w:pPr>
      <w:r w:rsidRPr="00B96506">
        <w:rPr>
          <w:rStyle w:val="af1"/>
          <w:sz w:val="24"/>
          <w:szCs w:val="24"/>
          <w:vertAlign w:val="baseline"/>
        </w:rPr>
        <w:footnoteRef/>
      </w:r>
      <w:r w:rsidRPr="00B96506">
        <w:rPr>
          <w:sz w:val="24"/>
          <w:szCs w:val="24"/>
        </w:rPr>
        <w:t xml:space="preserve"> van Rompuy, Ben. "Antitrust challenges to sports governance: EU and US perspectives." In Handbook on International Sports Law, by J </w:t>
      </w:r>
      <w:proofErr w:type="spellStart"/>
      <w:r w:rsidRPr="00B96506">
        <w:rPr>
          <w:sz w:val="24"/>
          <w:szCs w:val="24"/>
        </w:rPr>
        <w:t>Nafziger</w:t>
      </w:r>
      <w:proofErr w:type="spellEnd"/>
      <w:r w:rsidRPr="00B96506">
        <w:rPr>
          <w:sz w:val="24"/>
          <w:szCs w:val="24"/>
        </w:rPr>
        <w:t xml:space="preserve"> and R Gauthier, 423-455. Northampton: Edward Elgar, 2022</w:t>
      </w:r>
    </w:p>
  </w:footnote>
  <w:footnote w:id="24">
    <w:p w14:paraId="33535797" w14:textId="77777777" w:rsidR="0072520F" w:rsidRPr="00B96506" w:rsidRDefault="0072520F" w:rsidP="00B96506">
      <w:pPr>
        <w:bidi w:val="0"/>
        <w:spacing w:line="240" w:lineRule="auto"/>
        <w:ind w:left="340" w:hanging="340"/>
        <w:jc w:val="lowKashida"/>
      </w:pPr>
      <w:r w:rsidRPr="00B96506">
        <w:rPr>
          <w:rStyle w:val="af1"/>
          <w:vertAlign w:val="baseline"/>
        </w:rPr>
        <w:footnoteRef/>
      </w:r>
      <w:r w:rsidRPr="00B96506">
        <w:t xml:space="preserve"> National Society of Prof. Engineers v. United States 435 U.S. 679 (1978)</w:t>
      </w:r>
      <w:r w:rsidRPr="00B96506">
        <w:rPr>
          <w:rtl/>
        </w:rPr>
        <w:t xml:space="preserve"> </w:t>
      </w:r>
    </w:p>
  </w:footnote>
  <w:footnote w:id="25">
    <w:p w14:paraId="1F5411A7" w14:textId="77777777" w:rsidR="0072520F" w:rsidRPr="00B96506" w:rsidRDefault="0072520F" w:rsidP="00B96506">
      <w:pPr>
        <w:bidi w:val="0"/>
        <w:spacing w:line="240" w:lineRule="auto"/>
        <w:ind w:left="340" w:hanging="340"/>
        <w:jc w:val="lowKashida"/>
      </w:pPr>
      <w:r w:rsidRPr="00B96506">
        <w:rPr>
          <w:rStyle w:val="af1"/>
          <w:vertAlign w:val="baseline"/>
        </w:rPr>
        <w:footnoteRef/>
      </w:r>
      <w:r w:rsidRPr="00B96506">
        <w:t xml:space="preserve"> Chicago Board of Trade v. United States 246 U.S. 231 (1918)</w:t>
      </w:r>
    </w:p>
  </w:footnote>
  <w:footnote w:id="26">
    <w:p w14:paraId="7735E651" w14:textId="77777777" w:rsidR="0072520F" w:rsidRPr="00B96506" w:rsidRDefault="0072520F" w:rsidP="00B96506">
      <w:pPr>
        <w:pStyle w:val="af0"/>
        <w:bidi w:val="0"/>
        <w:spacing w:line="240" w:lineRule="auto"/>
        <w:ind w:left="340" w:hanging="340"/>
        <w:jc w:val="lowKashida"/>
        <w:rPr>
          <w:sz w:val="24"/>
          <w:szCs w:val="24"/>
        </w:rPr>
      </w:pPr>
      <w:r w:rsidRPr="00B96506">
        <w:rPr>
          <w:rStyle w:val="af1"/>
          <w:sz w:val="24"/>
          <w:szCs w:val="24"/>
          <w:vertAlign w:val="baseline"/>
        </w:rPr>
        <w:footnoteRef/>
      </w:r>
      <w:r w:rsidRPr="00B96506">
        <w:rPr>
          <w:sz w:val="24"/>
          <w:szCs w:val="24"/>
        </w:rPr>
        <w:t xml:space="preserve"> </w:t>
      </w:r>
      <w:proofErr w:type="spellStart"/>
      <w:r w:rsidRPr="00B96506">
        <w:rPr>
          <w:sz w:val="24"/>
          <w:szCs w:val="24"/>
        </w:rPr>
        <w:t>Farzin</w:t>
      </w:r>
      <w:proofErr w:type="spellEnd"/>
      <w:r w:rsidRPr="00B96506">
        <w:rPr>
          <w:sz w:val="24"/>
          <w:szCs w:val="24"/>
        </w:rPr>
        <w:t xml:space="preserve">, Leah. "On the Antitrust Exemption for Professional Sports in the United States and Europe." Jeffrey S. </w:t>
      </w:r>
      <w:proofErr w:type="spellStart"/>
      <w:r w:rsidRPr="00B96506">
        <w:rPr>
          <w:sz w:val="24"/>
          <w:szCs w:val="24"/>
        </w:rPr>
        <w:t>Moorad</w:t>
      </w:r>
      <w:proofErr w:type="spellEnd"/>
      <w:r w:rsidRPr="00B96506">
        <w:rPr>
          <w:sz w:val="24"/>
          <w:szCs w:val="24"/>
        </w:rPr>
        <w:t xml:space="preserve"> Sports Law Journal 22, no. 1 (2015): 75-108</w:t>
      </w:r>
    </w:p>
  </w:footnote>
  <w:footnote w:id="27">
    <w:p w14:paraId="69D1A989" w14:textId="77777777" w:rsidR="0072520F" w:rsidRPr="00B96506" w:rsidRDefault="0072520F" w:rsidP="00B96506">
      <w:pPr>
        <w:pStyle w:val="af0"/>
        <w:bidi w:val="0"/>
        <w:spacing w:line="240" w:lineRule="auto"/>
        <w:ind w:left="340" w:hanging="340"/>
        <w:jc w:val="lowKashida"/>
        <w:rPr>
          <w:sz w:val="24"/>
          <w:szCs w:val="24"/>
          <w:rtl/>
        </w:rPr>
      </w:pPr>
      <w:r w:rsidRPr="00B96506">
        <w:rPr>
          <w:rStyle w:val="af1"/>
          <w:sz w:val="24"/>
          <w:szCs w:val="24"/>
          <w:vertAlign w:val="baseline"/>
        </w:rPr>
        <w:footnoteRef/>
      </w:r>
      <w:r w:rsidRPr="00B96506">
        <w:rPr>
          <w:sz w:val="24"/>
          <w:szCs w:val="24"/>
        </w:rPr>
        <w:t xml:space="preserve"> van Rompuy, Ben. "Antitrust challenges to sports governance: EU and US perspectives." In Handbook on International Sports Law, by J </w:t>
      </w:r>
      <w:proofErr w:type="spellStart"/>
      <w:r w:rsidRPr="00B96506">
        <w:rPr>
          <w:sz w:val="24"/>
          <w:szCs w:val="24"/>
        </w:rPr>
        <w:t>Nafziger</w:t>
      </w:r>
      <w:proofErr w:type="spellEnd"/>
      <w:r w:rsidRPr="00B96506">
        <w:rPr>
          <w:sz w:val="24"/>
          <w:szCs w:val="24"/>
        </w:rPr>
        <w:t xml:space="preserve"> and R Gauthier, 423-455. Northampton: Edward Elgar, 2022</w:t>
      </w:r>
    </w:p>
  </w:footnote>
  <w:footnote w:id="28">
    <w:p w14:paraId="2B61CD34" w14:textId="77777777" w:rsidR="0072520F" w:rsidRPr="00B96506" w:rsidRDefault="0072520F" w:rsidP="00B96506">
      <w:pPr>
        <w:bidi w:val="0"/>
        <w:spacing w:line="240" w:lineRule="auto"/>
        <w:ind w:left="340" w:hanging="340"/>
        <w:jc w:val="lowKashida"/>
        <w:rPr>
          <w:rtl/>
        </w:rPr>
      </w:pPr>
      <w:r w:rsidRPr="00B96506">
        <w:rPr>
          <w:rStyle w:val="af1"/>
          <w:vertAlign w:val="baseline"/>
        </w:rPr>
        <w:footnoteRef/>
      </w:r>
      <w:r w:rsidRPr="00B96506">
        <w:t xml:space="preserve"> Carrier, M A. "The Rule of Reason: An Empirical Update for the 21st Century." George Mason Law Review 16 (2009): 827-837</w:t>
      </w:r>
      <w:r w:rsidRPr="00B96506">
        <w:rPr>
          <w:rtl/>
        </w:rPr>
        <w:t>.</w:t>
      </w:r>
    </w:p>
  </w:footnote>
  <w:footnote w:id="29">
    <w:p w14:paraId="620A14F6" w14:textId="77777777" w:rsidR="0072520F" w:rsidRPr="00B96506" w:rsidRDefault="0072520F" w:rsidP="00B96506">
      <w:pPr>
        <w:bidi w:val="0"/>
        <w:spacing w:line="240" w:lineRule="auto"/>
        <w:ind w:left="340" w:hanging="340"/>
        <w:jc w:val="lowKashida"/>
      </w:pPr>
      <w:r w:rsidRPr="00B96506">
        <w:rPr>
          <w:rStyle w:val="af1"/>
          <w:vertAlign w:val="baseline"/>
        </w:rPr>
        <w:footnoteRef/>
      </w:r>
      <w:r w:rsidRPr="00B96506">
        <w:t xml:space="preserve"> National Collegiate Athletic Association v. Alston 141 S. Ct. 2141 (2021)</w:t>
      </w:r>
    </w:p>
  </w:footnote>
  <w:footnote w:id="30">
    <w:p w14:paraId="37D30FBD" w14:textId="77777777" w:rsidR="0072520F" w:rsidRPr="00B96506" w:rsidRDefault="0072520F" w:rsidP="00B96506">
      <w:pPr>
        <w:bidi w:val="0"/>
        <w:spacing w:line="240" w:lineRule="auto"/>
        <w:ind w:left="340" w:hanging="340"/>
        <w:jc w:val="lowKashida"/>
        <w:rPr>
          <w:rtl/>
        </w:rPr>
      </w:pPr>
      <w:r w:rsidRPr="00B96506">
        <w:rPr>
          <w:rStyle w:val="af1"/>
          <w:vertAlign w:val="baseline"/>
        </w:rPr>
        <w:footnoteRef/>
      </w:r>
      <w:r w:rsidRPr="00B96506">
        <w:t xml:space="preserve"> </w:t>
      </w:r>
      <w:proofErr w:type="spellStart"/>
      <w:r w:rsidRPr="00B96506">
        <w:t>Willman</w:t>
      </w:r>
      <w:proofErr w:type="spellEnd"/>
      <w:r w:rsidRPr="00B96506">
        <w:t xml:space="preserve">, David. PGA </w:t>
      </w:r>
      <w:proofErr w:type="spellStart"/>
      <w:r w:rsidRPr="00B96506">
        <w:t>Outclubs</w:t>
      </w:r>
      <w:proofErr w:type="spellEnd"/>
      <w:r w:rsidRPr="00B96506">
        <w:t xml:space="preserve"> FTC in Antitrust Fight. October 22, 1995. https://www.latimes.com/archives/la-xpm-1995-10-22-fi-59876-story.html</w:t>
      </w:r>
      <w:r w:rsidRPr="00B96506">
        <w:rPr>
          <w:rtl/>
        </w:rPr>
        <w:t>.</w:t>
      </w:r>
    </w:p>
  </w:footnote>
  <w:footnote w:id="31">
    <w:p w14:paraId="370F8E7E" w14:textId="77777777" w:rsidR="0072520F" w:rsidRPr="00B96506" w:rsidRDefault="0072520F" w:rsidP="00B96506">
      <w:pPr>
        <w:bidi w:val="0"/>
        <w:spacing w:line="240" w:lineRule="auto"/>
        <w:ind w:left="340" w:hanging="340"/>
        <w:jc w:val="lowKashida"/>
      </w:pPr>
      <w:r w:rsidRPr="00B96506">
        <w:rPr>
          <w:rStyle w:val="af1"/>
          <w:vertAlign w:val="baseline"/>
        </w:rPr>
        <w:footnoteRef/>
      </w:r>
      <w:r w:rsidRPr="00B96506">
        <w:t xml:space="preserve"> Cogan v. Harford </w:t>
      </w:r>
      <w:proofErr w:type="spellStart"/>
      <w:r w:rsidRPr="00B96506">
        <w:t>Mem’l</w:t>
      </w:r>
      <w:proofErr w:type="spellEnd"/>
      <w:r w:rsidRPr="00B96506">
        <w:t xml:space="preserve"> </w:t>
      </w:r>
      <w:proofErr w:type="spellStart"/>
      <w:r w:rsidRPr="00B96506">
        <w:t>Hosp</w:t>
      </w:r>
      <w:proofErr w:type="spellEnd"/>
      <w:r w:rsidRPr="00B96506">
        <w:t xml:space="preserve"> 843 F. Supp. 1013 (D. Md. 1994)</w:t>
      </w:r>
    </w:p>
  </w:footnote>
  <w:footnote w:id="32">
    <w:p w14:paraId="6ADA4087" w14:textId="77777777" w:rsidR="0072520F" w:rsidRPr="00B96506" w:rsidRDefault="0072520F" w:rsidP="00B96506">
      <w:pPr>
        <w:pStyle w:val="af0"/>
        <w:bidi w:val="0"/>
        <w:spacing w:line="240" w:lineRule="auto"/>
        <w:ind w:left="340" w:hanging="340"/>
        <w:jc w:val="lowKashida"/>
        <w:rPr>
          <w:sz w:val="24"/>
          <w:szCs w:val="24"/>
          <w:rtl/>
        </w:rPr>
      </w:pPr>
      <w:r w:rsidRPr="00B96506">
        <w:rPr>
          <w:rStyle w:val="af1"/>
          <w:sz w:val="24"/>
          <w:szCs w:val="24"/>
          <w:vertAlign w:val="baseline"/>
        </w:rPr>
        <w:footnoteRef/>
      </w:r>
      <w:r w:rsidRPr="00B96506">
        <w:rPr>
          <w:sz w:val="24"/>
          <w:szCs w:val="24"/>
        </w:rPr>
        <w:t xml:space="preserve"> </w:t>
      </w:r>
      <w:proofErr w:type="spellStart"/>
      <w:r w:rsidRPr="00B96506">
        <w:rPr>
          <w:sz w:val="24"/>
          <w:szCs w:val="24"/>
        </w:rPr>
        <w:t>Beall</w:t>
      </w:r>
      <w:proofErr w:type="spellEnd"/>
      <w:r w:rsidRPr="00B96506">
        <w:rPr>
          <w:sz w:val="24"/>
          <w:szCs w:val="24"/>
        </w:rPr>
        <w:t>, J. The LIV Golf series: What we know, what we don’t, and the massive ramifications of the Saudi-backed league. June 8, 2022. https://www.golfdigest.com/story/saudi-golf-league-2022-primer</w:t>
      </w:r>
    </w:p>
  </w:footnote>
  <w:footnote w:id="33">
    <w:p w14:paraId="51EA6331" w14:textId="77777777" w:rsidR="0072520F" w:rsidRPr="00B96506" w:rsidRDefault="0072520F" w:rsidP="00B96506">
      <w:pPr>
        <w:bidi w:val="0"/>
        <w:spacing w:line="240" w:lineRule="auto"/>
        <w:ind w:left="340" w:hanging="340"/>
        <w:jc w:val="lowKashida"/>
        <w:rPr>
          <w:rFonts w:ascii="Simplified Arabic" w:hAnsi="Simplified Arabic" w:cs="Simplified Arabic"/>
          <w:rtl/>
        </w:rPr>
      </w:pPr>
      <w:r w:rsidRPr="00B96506">
        <w:rPr>
          <w:rStyle w:val="af1"/>
          <w:vertAlign w:val="baseline"/>
        </w:rPr>
        <w:footnoteRef/>
      </w:r>
      <w:r w:rsidRPr="00B96506">
        <w:t xml:space="preserve"> Complaint CASE NO. 3:22-cv-04486, Phil Mickelson et al. (Plaintiffs) v PGA Tour, </w:t>
      </w:r>
      <w:proofErr w:type="spellStart"/>
      <w:r w:rsidRPr="00B96506">
        <w:t>Inc</w:t>
      </w:r>
      <w:proofErr w:type="spellEnd"/>
      <w:r w:rsidRPr="00B96506">
        <w:t xml:space="preserve"> (Defendant)</w:t>
      </w:r>
    </w:p>
  </w:footnote>
  <w:footnote w:id="34">
    <w:p w14:paraId="27EC3B39" w14:textId="77777777" w:rsidR="0072520F" w:rsidRPr="00B96506" w:rsidRDefault="0072520F" w:rsidP="00B96506">
      <w:pPr>
        <w:spacing w:line="240" w:lineRule="auto"/>
        <w:ind w:left="340" w:hanging="340"/>
        <w:jc w:val="lowKashida"/>
        <w:rPr>
          <w:rFonts w:ascii="Simplified Arabic" w:hAnsi="Simplified Arabic" w:cs="Simplified Arabic"/>
          <w:rtl/>
        </w:rPr>
      </w:pPr>
      <w:r w:rsidRPr="00B96506">
        <w:rPr>
          <w:rStyle w:val="af1"/>
          <w:rFonts w:ascii="Simplified Arabic" w:hAnsi="Simplified Arabic" w:cs="Simplified Arabic"/>
          <w:vertAlign w:val="baseline"/>
        </w:rPr>
        <w:footnoteRef/>
      </w:r>
      <w:r w:rsidRPr="00B96506">
        <w:rPr>
          <w:rFonts w:ascii="Simplified Arabic" w:hAnsi="Simplified Arabic" w:cs="Simplified Arabic"/>
        </w:rPr>
        <w:t xml:space="preserve"> </w:t>
      </w:r>
      <w:r w:rsidRPr="00B96506">
        <w:rPr>
          <w:rFonts w:ascii="Simplified Arabic" w:hAnsi="Simplified Arabic" w:cs="Simplified Arabic"/>
          <w:rtl/>
        </w:rPr>
        <w:t xml:space="preserve"> نفس المصدر ص 62</w:t>
      </w:r>
    </w:p>
  </w:footnote>
  <w:footnote w:id="35">
    <w:p w14:paraId="2CA8CD2E"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sz w:val="24"/>
          <w:szCs w:val="24"/>
          <w:rtl/>
        </w:rPr>
        <w:t>نفس المصدر ص 70</w:t>
      </w:r>
    </w:p>
  </w:footnote>
  <w:footnote w:id="36">
    <w:p w14:paraId="62D41E86"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sz w:val="24"/>
          <w:szCs w:val="24"/>
          <w:rtl/>
        </w:rPr>
        <w:t>نفس المصدر ص 71</w:t>
      </w:r>
    </w:p>
  </w:footnote>
  <w:footnote w:id="37">
    <w:p w14:paraId="7EA3D916"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sz w:val="24"/>
          <w:szCs w:val="24"/>
          <w:rtl/>
        </w:rPr>
        <w:t>نفس المصدر ص 98</w:t>
      </w:r>
    </w:p>
  </w:footnote>
  <w:footnote w:id="38">
    <w:p w14:paraId="6ECC1C19"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sz w:val="24"/>
          <w:szCs w:val="24"/>
          <w:rtl/>
        </w:rPr>
        <w:t>نفس المصدر ص 314</w:t>
      </w:r>
    </w:p>
  </w:footnote>
  <w:footnote w:id="39">
    <w:p w14:paraId="275ED5B5"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Pr>
        <w:t xml:space="preserve"> </w:t>
      </w:r>
      <w:r w:rsidRPr="00B96506">
        <w:rPr>
          <w:rFonts w:ascii="Simplified Arabic" w:hAnsi="Simplified Arabic" w:cs="Simplified Arabic"/>
          <w:sz w:val="24"/>
          <w:szCs w:val="24"/>
          <w:rtl/>
        </w:rPr>
        <w:t>نفس المصدر ص 299</w:t>
      </w:r>
    </w:p>
  </w:footnote>
  <w:footnote w:id="40">
    <w:p w14:paraId="7C394682" w14:textId="77777777" w:rsidR="0072520F" w:rsidRPr="00373343" w:rsidRDefault="0072520F" w:rsidP="00373343">
      <w:pPr>
        <w:bidi w:val="0"/>
        <w:spacing w:line="240" w:lineRule="auto"/>
        <w:ind w:left="340" w:hanging="340"/>
        <w:jc w:val="lowKashida"/>
        <w:rPr>
          <w:rFonts w:asciiTheme="majorBidi" w:hAnsiTheme="majorBidi" w:cstheme="majorBidi"/>
        </w:rPr>
      </w:pPr>
      <w:r w:rsidRPr="00373343">
        <w:rPr>
          <w:rStyle w:val="af1"/>
          <w:rFonts w:asciiTheme="majorBidi" w:hAnsiTheme="majorBidi" w:cstheme="majorBidi"/>
          <w:vertAlign w:val="baseline"/>
        </w:rPr>
        <w:footnoteRef/>
      </w:r>
      <w:r w:rsidRPr="00373343">
        <w:rPr>
          <w:rFonts w:asciiTheme="majorBidi" w:hAnsiTheme="majorBidi" w:cstheme="majorBidi"/>
        </w:rPr>
        <w:t xml:space="preserve"> Weyerhaeuser Co. v. Ross-Simmons Hardwood Lumber Co., Inc. 549 U.S. 312 (2007)</w:t>
      </w:r>
    </w:p>
  </w:footnote>
  <w:footnote w:id="41">
    <w:p w14:paraId="3C52ED8D" w14:textId="77777777" w:rsidR="0072520F" w:rsidRPr="00373343" w:rsidRDefault="0072520F" w:rsidP="00373343">
      <w:pPr>
        <w:bidi w:val="0"/>
        <w:spacing w:line="240" w:lineRule="auto"/>
        <w:ind w:left="340" w:hanging="340"/>
        <w:jc w:val="lowKashida"/>
        <w:rPr>
          <w:rFonts w:asciiTheme="majorBidi" w:hAnsiTheme="majorBidi" w:cstheme="majorBidi"/>
        </w:rPr>
      </w:pPr>
      <w:r w:rsidRPr="00373343">
        <w:rPr>
          <w:rStyle w:val="af1"/>
          <w:rFonts w:asciiTheme="majorBidi" w:hAnsiTheme="majorBidi" w:cstheme="majorBidi"/>
          <w:vertAlign w:val="baseline"/>
        </w:rPr>
        <w:footnoteRef/>
      </w:r>
      <w:r w:rsidRPr="00373343">
        <w:rPr>
          <w:rFonts w:asciiTheme="majorBidi" w:hAnsiTheme="majorBidi" w:cstheme="majorBidi"/>
        </w:rPr>
        <w:t xml:space="preserve"> Humphries, Brad, and H </w:t>
      </w:r>
      <w:proofErr w:type="spellStart"/>
      <w:r w:rsidRPr="00373343">
        <w:rPr>
          <w:rFonts w:asciiTheme="majorBidi" w:hAnsiTheme="majorBidi" w:cstheme="majorBidi"/>
        </w:rPr>
        <w:t>Pyun</w:t>
      </w:r>
      <w:proofErr w:type="spellEnd"/>
      <w:r w:rsidRPr="00373343">
        <w:rPr>
          <w:rFonts w:asciiTheme="majorBidi" w:hAnsiTheme="majorBidi" w:cstheme="majorBidi"/>
        </w:rPr>
        <w:t>. "Monopsony Exploitation in Professional Sport: Evidence from Major League Baseball Position Players, 2000-2011: Monopsony Exploitation in Professional Sport." Managerial and Decision Economics 38, no. 5 (2016)</w:t>
      </w:r>
      <w:r w:rsidRPr="00373343">
        <w:rPr>
          <w:rFonts w:asciiTheme="majorBidi" w:hAnsiTheme="majorBidi" w:cstheme="majorBidi"/>
          <w:rtl/>
        </w:rPr>
        <w:t>.</w:t>
      </w:r>
    </w:p>
  </w:footnote>
  <w:footnote w:id="42">
    <w:p w14:paraId="54700BAB" w14:textId="77777777" w:rsidR="0072520F" w:rsidRPr="00373343" w:rsidRDefault="0072520F" w:rsidP="00373343">
      <w:pPr>
        <w:bidi w:val="0"/>
        <w:spacing w:line="240" w:lineRule="auto"/>
        <w:ind w:left="340" w:hanging="340"/>
        <w:jc w:val="lowKashida"/>
      </w:pPr>
      <w:r w:rsidRPr="00373343">
        <w:rPr>
          <w:rStyle w:val="af1"/>
          <w:vertAlign w:val="baseline"/>
        </w:rPr>
        <w:footnoteRef/>
      </w:r>
      <w:r w:rsidRPr="00373343">
        <w:t xml:space="preserve"> Nova Designs, Inc. v. Scuba Retailers </w:t>
      </w:r>
      <w:proofErr w:type="spellStart"/>
      <w:r w:rsidRPr="00373343">
        <w:t>Ass’n</w:t>
      </w:r>
      <w:proofErr w:type="spellEnd"/>
      <w:r w:rsidRPr="00373343">
        <w:t xml:space="preserve"> 202 F.3d 1088 (9th Cir. 2000)</w:t>
      </w:r>
    </w:p>
  </w:footnote>
  <w:footnote w:id="43">
    <w:p w14:paraId="697C89F7" w14:textId="77777777" w:rsidR="0072520F" w:rsidRPr="00373343" w:rsidRDefault="0072520F" w:rsidP="00373343">
      <w:pPr>
        <w:bidi w:val="0"/>
        <w:spacing w:line="240" w:lineRule="auto"/>
        <w:ind w:left="340" w:hanging="340"/>
        <w:jc w:val="lowKashida"/>
        <w:rPr>
          <w:rFonts w:asciiTheme="majorBidi" w:hAnsiTheme="majorBidi" w:cstheme="majorBidi"/>
        </w:rPr>
      </w:pPr>
      <w:r w:rsidRPr="00373343">
        <w:rPr>
          <w:rStyle w:val="af1"/>
          <w:rFonts w:asciiTheme="majorBidi" w:hAnsiTheme="majorBidi" w:cstheme="majorBidi"/>
          <w:vertAlign w:val="baseline"/>
        </w:rPr>
        <w:footnoteRef/>
      </w:r>
      <w:r w:rsidRPr="00373343">
        <w:rPr>
          <w:rFonts w:asciiTheme="majorBidi" w:hAnsiTheme="majorBidi" w:cstheme="majorBidi"/>
        </w:rPr>
        <w:t xml:space="preserve"> The Sherman’s Antitrust Act 1890</w:t>
      </w:r>
    </w:p>
  </w:footnote>
  <w:footnote w:id="44">
    <w:p w14:paraId="69C5C9AE" w14:textId="77777777" w:rsidR="0072520F" w:rsidRPr="00373343" w:rsidRDefault="0072520F" w:rsidP="00373343">
      <w:pPr>
        <w:bidi w:val="0"/>
        <w:spacing w:line="240" w:lineRule="auto"/>
        <w:ind w:left="340" w:hanging="340"/>
        <w:jc w:val="lowKashida"/>
        <w:rPr>
          <w:rFonts w:asciiTheme="majorBidi" w:hAnsiTheme="majorBidi" w:cstheme="majorBidi"/>
          <w:rtl/>
        </w:rPr>
      </w:pPr>
      <w:r w:rsidRPr="00373343">
        <w:rPr>
          <w:rStyle w:val="af1"/>
          <w:rFonts w:asciiTheme="majorBidi" w:hAnsiTheme="majorBidi" w:cstheme="majorBidi"/>
          <w:vertAlign w:val="baseline"/>
        </w:rPr>
        <w:footnoteRef/>
      </w:r>
      <w:r w:rsidRPr="00373343">
        <w:rPr>
          <w:rFonts w:asciiTheme="majorBidi" w:hAnsiTheme="majorBidi" w:cstheme="majorBidi"/>
        </w:rPr>
        <w:t xml:space="preserve"> Defendant </w:t>
      </w:r>
      <w:proofErr w:type="spellStart"/>
      <w:r w:rsidRPr="00373343">
        <w:rPr>
          <w:rFonts w:asciiTheme="majorBidi" w:hAnsiTheme="majorBidi" w:cstheme="majorBidi"/>
        </w:rPr>
        <w:t>Pga</w:t>
      </w:r>
      <w:proofErr w:type="spellEnd"/>
      <w:r w:rsidRPr="00373343">
        <w:rPr>
          <w:rFonts w:asciiTheme="majorBidi" w:hAnsiTheme="majorBidi" w:cstheme="majorBidi"/>
        </w:rPr>
        <w:t xml:space="preserve"> Tour, Inc.’s Opposition to TRO Plaintiffs’ Motion For A Temporary Restraining Order CASE NO. 3:22-cv-04486</w:t>
      </w:r>
    </w:p>
  </w:footnote>
  <w:footnote w:id="45">
    <w:p w14:paraId="63D70933" w14:textId="77777777" w:rsidR="0072520F" w:rsidRPr="00B96506" w:rsidRDefault="0072520F" w:rsidP="00B96506">
      <w:pPr>
        <w:pStyle w:val="af0"/>
        <w:spacing w:line="240" w:lineRule="auto"/>
        <w:ind w:left="340" w:hanging="340"/>
        <w:jc w:val="lowKashida"/>
        <w:rPr>
          <w:rFonts w:ascii="Simplified Arabic" w:hAnsi="Simplified Arabic" w:cs="Simplified Arabic"/>
          <w:sz w:val="24"/>
          <w:szCs w:val="24"/>
          <w:rtl/>
        </w:rPr>
      </w:pPr>
      <w:r w:rsidRPr="00B96506">
        <w:rPr>
          <w:rStyle w:val="af1"/>
          <w:rFonts w:ascii="Simplified Arabic" w:hAnsi="Simplified Arabic" w:cs="Simplified Arabic"/>
          <w:sz w:val="24"/>
          <w:szCs w:val="24"/>
          <w:vertAlign w:val="baseline"/>
        </w:rPr>
        <w:footnoteRef/>
      </w:r>
      <w:r w:rsidRPr="00B96506">
        <w:rPr>
          <w:rFonts w:ascii="Simplified Arabic" w:hAnsi="Simplified Arabic" w:cs="Simplified Arabic"/>
          <w:sz w:val="24"/>
          <w:szCs w:val="24"/>
          <w:rtl/>
        </w:rPr>
        <w:t>نفس المصدر ص 17</w:t>
      </w:r>
    </w:p>
  </w:footnote>
  <w:footnote w:id="46">
    <w:p w14:paraId="4B88E66F" w14:textId="77777777" w:rsidR="0072520F" w:rsidRPr="00373343" w:rsidRDefault="0072520F" w:rsidP="00373343">
      <w:pPr>
        <w:pStyle w:val="af0"/>
        <w:bidi w:val="0"/>
        <w:spacing w:line="240" w:lineRule="auto"/>
        <w:ind w:left="340" w:hanging="340"/>
        <w:jc w:val="lowKashida"/>
        <w:rPr>
          <w:sz w:val="24"/>
          <w:szCs w:val="24"/>
          <w:rtl/>
        </w:rPr>
      </w:pPr>
      <w:r w:rsidRPr="00373343">
        <w:rPr>
          <w:rStyle w:val="af1"/>
          <w:sz w:val="24"/>
          <w:szCs w:val="24"/>
          <w:vertAlign w:val="baseline"/>
        </w:rPr>
        <w:footnoteRef/>
      </w:r>
      <w:r w:rsidRPr="00373343">
        <w:rPr>
          <w:sz w:val="24"/>
          <w:szCs w:val="24"/>
        </w:rPr>
        <w:t xml:space="preserve"> US Department of Justice. "Competition and monopoly: single-firm conduct under Section 2 of the Sherman's Act." 2008</w:t>
      </w:r>
    </w:p>
  </w:footnote>
  <w:footnote w:id="47">
    <w:p w14:paraId="5DFD024B" w14:textId="77777777" w:rsidR="0072520F" w:rsidRPr="00373343" w:rsidRDefault="0072520F" w:rsidP="00373343">
      <w:pPr>
        <w:pStyle w:val="af0"/>
        <w:bidi w:val="0"/>
        <w:spacing w:line="240" w:lineRule="auto"/>
        <w:ind w:left="340" w:hanging="340"/>
        <w:jc w:val="lowKashida"/>
        <w:rPr>
          <w:sz w:val="24"/>
          <w:szCs w:val="24"/>
          <w:rtl/>
        </w:rPr>
      </w:pPr>
      <w:r w:rsidRPr="00373343">
        <w:rPr>
          <w:rStyle w:val="af1"/>
          <w:sz w:val="24"/>
          <w:szCs w:val="24"/>
          <w:vertAlign w:val="baseline"/>
        </w:rPr>
        <w:footnoteRef/>
      </w:r>
      <w:r w:rsidRPr="00373343">
        <w:rPr>
          <w:sz w:val="24"/>
          <w:szCs w:val="24"/>
        </w:rPr>
        <w:t xml:space="preserve"> Defendant </w:t>
      </w:r>
      <w:proofErr w:type="spellStart"/>
      <w:r w:rsidRPr="00373343">
        <w:rPr>
          <w:sz w:val="24"/>
          <w:szCs w:val="24"/>
        </w:rPr>
        <w:t>Pga</w:t>
      </w:r>
      <w:proofErr w:type="spellEnd"/>
      <w:r w:rsidRPr="00373343">
        <w:rPr>
          <w:sz w:val="24"/>
          <w:szCs w:val="24"/>
        </w:rPr>
        <w:t xml:space="preserve"> Tour, Inc.’s Opposition to TRO Plaintiffs’ Motion For A Temporary Restraining Order CASE NO. 3:22-cv-04486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8A03AA"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8A03AA" w:rsidRPr="000271CC" w:rsidRDefault="008A03AA"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8A03AA"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8A03AA" w:rsidRPr="000271CC" w:rsidRDefault="008A03AA" w:rsidP="00FF7FDA">
          <w:pPr>
            <w:pStyle w:val="ad"/>
            <w:spacing w:line="240" w:lineRule="auto"/>
            <w:jc w:val="center"/>
            <w:rPr>
              <w:rFonts w:ascii="Calibri" w:hAnsi="Calibri" w:cs="AL-Mateen"/>
              <w:sz w:val="26"/>
              <w:szCs w:val="26"/>
              <w:rtl/>
            </w:rPr>
          </w:pPr>
        </w:p>
      </w:tc>
    </w:tr>
  </w:tbl>
  <w:p w14:paraId="6B3CA73F" w14:textId="77777777" w:rsidR="008A03AA" w:rsidRPr="00905342" w:rsidRDefault="008A03AA">
    <w:pPr>
      <w:pStyle w:val="af"/>
      <w:rPr>
        <w:lang w:bidi="ar-EG"/>
      </w:rPr>
    </w:pPr>
  </w:p>
  <w:p w14:paraId="3F3F2549" w14:textId="77777777" w:rsidR="008A03AA" w:rsidRDefault="008A03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8A03AA"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2465DE0F" w:rsidR="008A03AA" w:rsidRPr="00966A58" w:rsidRDefault="005C111E" w:rsidP="00966A58">
          <w:pPr>
            <w:spacing w:line="240" w:lineRule="auto"/>
            <w:rPr>
              <w:rFonts w:ascii="Adobe Arabic" w:hAnsi="Adobe Arabic" w:cs="Adobe Arabic"/>
              <w:color w:val="000000"/>
              <w:sz w:val="27"/>
              <w:szCs w:val="27"/>
              <w:rtl/>
            </w:rPr>
          </w:pPr>
          <w:r w:rsidRPr="005C111E">
            <w:rPr>
              <w:rFonts w:ascii="Adobe Arabic" w:hAnsi="Adobe Arabic" w:cs="Adobe Arabic" w:hint="cs"/>
              <w:color w:val="000000"/>
              <w:sz w:val="25"/>
              <w:szCs w:val="25"/>
              <w:rtl/>
            </w:rPr>
            <w:t>مكافحة الاحتكار في تنظيم الأحداث الرياضية</w:t>
          </w:r>
          <w:r>
            <w:rPr>
              <w:rFonts w:ascii="Adobe Arabic" w:hAnsi="Adobe Arabic" w:cs="Adobe Arabic" w:hint="cs"/>
              <w:color w:val="000000"/>
              <w:sz w:val="25"/>
              <w:szCs w:val="25"/>
              <w:rtl/>
            </w:rPr>
            <w:t xml:space="preserve"> </w:t>
          </w:r>
          <w:r w:rsidRPr="0072520F">
            <w:rPr>
              <w:rFonts w:ascii="Adobe Arabic" w:hAnsi="Adobe Arabic" w:cs="Adobe Arabic" w:hint="cs"/>
              <w:color w:val="000000"/>
              <w:sz w:val="25"/>
              <w:szCs w:val="25"/>
              <w:rtl/>
            </w:rPr>
            <w:t xml:space="preserve">دراسة تحليلية لقضية بطولتي ليف و بي جي </w:t>
          </w:r>
          <w:proofErr w:type="spellStart"/>
          <w:r w:rsidRPr="0072520F">
            <w:rPr>
              <w:rFonts w:ascii="Adobe Arabic" w:hAnsi="Adobe Arabic" w:cs="Adobe Arabic" w:hint="cs"/>
              <w:color w:val="000000"/>
              <w:sz w:val="25"/>
              <w:szCs w:val="25"/>
              <w:rtl/>
            </w:rPr>
            <w:t>آي</w:t>
          </w:r>
          <w:proofErr w:type="spellEnd"/>
          <w:r w:rsidRPr="0072520F">
            <w:rPr>
              <w:rFonts w:ascii="Adobe Arabic" w:hAnsi="Adobe Arabic" w:cs="Adobe Arabic" w:hint="cs"/>
              <w:color w:val="000000"/>
              <w:sz w:val="25"/>
              <w:szCs w:val="25"/>
              <w:rtl/>
            </w:rPr>
            <w:t xml:space="preserve"> للغولف</w:t>
          </w:r>
        </w:p>
      </w:tc>
    </w:tr>
    <w:tr w:rsidR="008A03AA"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8A03AA" w:rsidRPr="002167AA" w:rsidRDefault="008A03AA">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8A03AA" w:rsidRPr="00707690" w:rsidRDefault="008A03AA" w:rsidP="00FF7FDA">
    <w:pPr>
      <w:pStyle w:val="af"/>
      <w:rPr>
        <w:lang w:bidi="ar-IQ"/>
      </w:rPr>
    </w:pPr>
  </w:p>
  <w:p w14:paraId="05880C80" w14:textId="77777777" w:rsidR="008A03AA" w:rsidRDefault="008A03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5">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2">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5">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6">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29">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4">
    <w:nsid w:val="600906A6"/>
    <w:multiLevelType w:val="hybridMultilevel"/>
    <w:tmpl w:val="39B07A8C"/>
    <w:lvl w:ilvl="0" w:tplc="7C2883A8">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7">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8">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0">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5"/>
  </w:num>
  <w:num w:numId="2">
    <w:abstractNumId w:val="38"/>
  </w:num>
  <w:num w:numId="3">
    <w:abstractNumId w:val="9"/>
  </w:num>
  <w:num w:numId="4">
    <w:abstractNumId w:val="32"/>
  </w:num>
  <w:num w:numId="5">
    <w:abstractNumId w:val="6"/>
  </w:num>
  <w:num w:numId="6">
    <w:abstractNumId w:val="18"/>
  </w:num>
  <w:num w:numId="7">
    <w:abstractNumId w:val="19"/>
  </w:num>
  <w:num w:numId="8">
    <w:abstractNumId w:val="17"/>
  </w:num>
  <w:num w:numId="9">
    <w:abstractNumId w:val="10"/>
  </w:num>
  <w:num w:numId="10">
    <w:abstractNumId w:val="24"/>
  </w:num>
  <w:num w:numId="11">
    <w:abstractNumId w:val="3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39"/>
  </w:num>
  <w:num w:numId="16">
    <w:abstractNumId w:val="27"/>
  </w:num>
  <w:num w:numId="17">
    <w:abstractNumId w:val="12"/>
  </w:num>
  <w:num w:numId="18">
    <w:abstractNumId w:val="5"/>
  </w:num>
  <w:num w:numId="19">
    <w:abstractNumId w:val="15"/>
  </w:num>
  <w:num w:numId="20">
    <w:abstractNumId w:val="3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8"/>
  </w:num>
  <w:num w:numId="24">
    <w:abstractNumId w:val="33"/>
  </w:num>
  <w:num w:numId="25">
    <w:abstractNumId w:val="23"/>
  </w:num>
  <w:num w:numId="26">
    <w:abstractNumId w:val="26"/>
  </w:num>
  <w:num w:numId="27">
    <w:abstractNumId w:val="22"/>
  </w:num>
  <w:num w:numId="28">
    <w:abstractNumId w:val="14"/>
  </w:num>
  <w:num w:numId="29">
    <w:abstractNumId w:val="7"/>
  </w:num>
  <w:num w:numId="30">
    <w:abstractNumId w:val="16"/>
  </w:num>
  <w:num w:numId="31">
    <w:abstractNumId w:val="8"/>
  </w:num>
  <w:num w:numId="32">
    <w:abstractNumId w:val="40"/>
  </w:num>
  <w:num w:numId="33">
    <w:abstractNumId w:val="13"/>
  </w:num>
  <w:num w:numId="34">
    <w:abstractNumId w:val="2"/>
  </w:num>
  <w:num w:numId="35">
    <w:abstractNumId w:val="1"/>
  </w:num>
  <w:num w:numId="36">
    <w:abstractNumId w:val="0"/>
  </w:num>
  <w:num w:numId="37">
    <w:abstractNumId w:val="4"/>
  </w:num>
  <w:num w:numId="38">
    <w:abstractNumId w:val="3"/>
  </w:num>
  <w:num w:numId="39">
    <w:abstractNumId w:val="41"/>
  </w:num>
  <w:num w:numId="40">
    <w:abstractNumId w:val="30"/>
  </w:num>
  <w:num w:numId="41">
    <w:abstractNumId w:val="36"/>
  </w:num>
  <w:num w:numId="4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5F04"/>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1FF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2B9E"/>
    <w:rsid w:val="001C337F"/>
    <w:rsid w:val="001C33B2"/>
    <w:rsid w:val="001C33F8"/>
    <w:rsid w:val="001C396A"/>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0F37"/>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671F"/>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384"/>
    <w:rsid w:val="003456C1"/>
    <w:rsid w:val="00346543"/>
    <w:rsid w:val="003465A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343"/>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7F5"/>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535"/>
    <w:rsid w:val="00405B8B"/>
    <w:rsid w:val="00405C25"/>
    <w:rsid w:val="0040667C"/>
    <w:rsid w:val="004069BD"/>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0D9"/>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34F"/>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69A9"/>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11E"/>
    <w:rsid w:val="005C1E1E"/>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0B8"/>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55BA"/>
    <w:rsid w:val="006D68BD"/>
    <w:rsid w:val="006D6980"/>
    <w:rsid w:val="006D770D"/>
    <w:rsid w:val="006D7C2B"/>
    <w:rsid w:val="006D7F9E"/>
    <w:rsid w:val="006E0169"/>
    <w:rsid w:val="006E1134"/>
    <w:rsid w:val="006E182B"/>
    <w:rsid w:val="006E28CC"/>
    <w:rsid w:val="006E3004"/>
    <w:rsid w:val="006E3309"/>
    <w:rsid w:val="006E340B"/>
    <w:rsid w:val="006E37E8"/>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32E"/>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20F"/>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879"/>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0811"/>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3AA"/>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1FA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91"/>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599"/>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57D"/>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055"/>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4E83"/>
    <w:rsid w:val="00B36D37"/>
    <w:rsid w:val="00B37121"/>
    <w:rsid w:val="00B372F2"/>
    <w:rsid w:val="00B372F6"/>
    <w:rsid w:val="00B37514"/>
    <w:rsid w:val="00B37557"/>
    <w:rsid w:val="00B377DC"/>
    <w:rsid w:val="00B400D2"/>
    <w:rsid w:val="00B402EC"/>
    <w:rsid w:val="00B404A1"/>
    <w:rsid w:val="00B413BA"/>
    <w:rsid w:val="00B421E9"/>
    <w:rsid w:val="00B43CCB"/>
    <w:rsid w:val="00B44413"/>
    <w:rsid w:val="00B446B3"/>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506"/>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5B5"/>
    <w:rsid w:val="00BC2B0F"/>
    <w:rsid w:val="00BC2E7F"/>
    <w:rsid w:val="00BC3078"/>
    <w:rsid w:val="00BC318E"/>
    <w:rsid w:val="00BC4817"/>
    <w:rsid w:val="00BC5A19"/>
    <w:rsid w:val="00BC5C8F"/>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3A85"/>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0D8"/>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6FC"/>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8D9"/>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DF3"/>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salrefaei@kau.edu.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B563-4411-4EA3-A743-D0637017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4888</Words>
  <Characters>27866</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32689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8</cp:revision>
  <cp:lastPrinted>2024-09-19T13:40:00Z</cp:lastPrinted>
  <dcterms:created xsi:type="dcterms:W3CDTF">2024-09-24T11:10:00Z</dcterms:created>
  <dcterms:modified xsi:type="dcterms:W3CDTF">2024-10-03T13:44:00Z</dcterms:modified>
</cp:coreProperties>
</file>